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#10</w:t>
      </w:r>
      <w:r>
        <w:rPr>
          <w:rFonts w:hint="eastAsia" w:ascii="Arial" w:hAnsi="Arial" w:cs="Arial"/>
          <w:b/>
          <w:sz w:val="24"/>
          <w:lang w:val="en-US" w:eastAsia="zh-CN"/>
        </w:rPr>
        <w:t>8bis</w:t>
      </w:r>
      <w:r>
        <w:rPr>
          <w:rFonts w:ascii="Arial" w:hAnsi="Arial" w:eastAsia="MS Mincho"/>
          <w:b/>
          <w:sz w:val="24"/>
        </w:rPr>
        <w:tab/>
      </w:r>
      <w:r>
        <w:rPr>
          <w:rFonts w:ascii="Arial" w:hAnsi="Arial"/>
          <w:b/>
          <w:sz w:val="24"/>
          <w:lang w:eastAsia="zh-CN"/>
        </w:rPr>
        <w:t>R4-2</w:t>
      </w:r>
      <w:r>
        <w:rPr>
          <w:rFonts w:hint="eastAsia" w:ascii="Arial" w:hAnsi="Arial"/>
          <w:b/>
          <w:sz w:val="24"/>
          <w:lang w:eastAsia="zh-CN"/>
        </w:rPr>
        <w:t>3</w:t>
      </w:r>
      <w:r>
        <w:rPr>
          <w:rFonts w:hint="eastAsia" w:ascii="Arial" w:hAnsi="Arial"/>
          <w:b/>
          <w:sz w:val="24"/>
          <w:lang w:val="en-US" w:eastAsia="zh-CN"/>
        </w:rPr>
        <w:t>16451</w:t>
      </w:r>
    </w:p>
    <w:p>
      <w:pPr>
        <w:tabs>
          <w:tab w:val="left" w:pos="3106"/>
          <w:tab w:val="center" w:pos="4536"/>
          <w:tab w:val="right" w:pos="9072"/>
        </w:tabs>
        <w:jc w:val="both"/>
        <w:rPr>
          <w:rFonts w:ascii="Arial" w:hAnsi="Arial" w:eastAsia="宋体"/>
          <w:b/>
          <w:sz w:val="24"/>
          <w:lang w:val="en-GB" w:eastAsia="zh-CN"/>
        </w:rPr>
      </w:pPr>
      <w:r>
        <w:rPr>
          <w:rFonts w:hint="eastAsia" w:ascii="Arial" w:hAnsi="Arial" w:eastAsia="宋体" w:cs="Arial"/>
          <w:b/>
          <w:sz w:val="24"/>
          <w:szCs w:val="24"/>
          <w:highlight w:val="none"/>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13</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sz w:val="24"/>
          <w:lang w:eastAsia="zh-CN"/>
        </w:rPr>
        <w:t>, 202</w:t>
      </w:r>
      <w:r>
        <w:rPr>
          <w:rFonts w:hint="eastAsia" w:ascii="Arial" w:hAnsi="Arial" w:eastAsia="宋体"/>
          <w:b/>
          <w:sz w:val="24"/>
          <w:lang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5.34.3.2</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bookmarkStart w:id="0" w:name="_GoBack"/>
      <w:bookmarkEnd w:id="0"/>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last meeting, the discussion on Scenario and side conditions around the SSB-less SCell operation of NES were held. Some progress on side condition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Cs w:val="24"/>
                <w:u w:val="single"/>
                <w:lang w:eastAsia="zh-CN"/>
              </w:rPr>
            </w:pPr>
            <w:r>
              <w:rPr>
                <w:b/>
                <w:szCs w:val="24"/>
                <w:u w:val="single"/>
                <w:lang w:eastAsia="zh-CN"/>
              </w:rPr>
              <w:t>Issue 1-2-1: RTD conditions for scenario 1</w:t>
            </w:r>
          </w:p>
          <w:p>
            <w:pPr>
              <w:pStyle w:val="32"/>
              <w:numPr>
                <w:ilvl w:val="0"/>
                <w:numId w:val="6"/>
              </w:numPr>
              <w:overflowPunct w:val="0"/>
              <w:autoSpaceDE w:val="0"/>
              <w:autoSpaceDN w:val="0"/>
              <w:adjustRightInd w:val="0"/>
              <w:spacing w:after="120" w:line="252" w:lineRule="auto"/>
              <w:ind w:left="644" w:firstLineChars="0"/>
              <w:rPr>
                <w:highlight w:val="green"/>
                <w:lang w:eastAsia="ja-JP"/>
              </w:rPr>
            </w:pPr>
            <w:r>
              <w:rPr>
                <w:highlight w:val="green"/>
                <w:lang w:eastAsia="ja-JP"/>
              </w:rPr>
              <w:t>Agreements</w:t>
            </w:r>
          </w:p>
          <w:p>
            <w:pPr>
              <w:pStyle w:val="32"/>
              <w:numPr>
                <w:ilvl w:val="2"/>
                <w:numId w:val="6"/>
              </w:numPr>
              <w:overflowPunct w:val="0"/>
              <w:autoSpaceDE w:val="0"/>
              <w:autoSpaceDN w:val="0"/>
              <w:adjustRightInd w:val="0"/>
              <w:spacing w:after="120" w:line="252" w:lineRule="auto"/>
              <w:ind w:firstLineChars="0"/>
              <w:rPr>
                <w:bCs/>
                <w:highlight w:val="green"/>
              </w:rPr>
            </w:pPr>
            <w:r>
              <w:rPr>
                <w:rFonts w:eastAsiaTheme="minorEastAsia"/>
                <w:iCs/>
                <w:highlight w:val="green"/>
              </w:rPr>
              <w:t xml:space="preserve">Define requirements for </w:t>
            </w:r>
            <w:r>
              <w:rPr>
                <w:bCs/>
                <w:highlight w:val="green"/>
              </w:rPr>
              <w:t xml:space="preserve">RTD </w:t>
            </w:r>
            <w:r>
              <w:rPr>
                <w:rFonts w:hint="eastAsia"/>
                <w:bCs/>
                <w:highlight w:val="green"/>
              </w:rPr>
              <w:t>≤</w:t>
            </w:r>
            <w:r>
              <w:rPr>
                <w:bCs/>
                <w:highlight w:val="green"/>
              </w:rPr>
              <w:t xml:space="preserve"> CP</w:t>
            </w:r>
          </w:p>
          <w:p>
            <w:pPr>
              <w:pStyle w:val="32"/>
              <w:numPr>
                <w:ilvl w:val="3"/>
                <w:numId w:val="6"/>
              </w:numPr>
              <w:overflowPunct w:val="0"/>
              <w:autoSpaceDE w:val="0"/>
              <w:autoSpaceDN w:val="0"/>
              <w:adjustRightInd w:val="0"/>
              <w:spacing w:after="120" w:line="252" w:lineRule="auto"/>
              <w:ind w:firstLineChars="0"/>
              <w:rPr>
                <w:bCs/>
                <w:highlight w:val="green"/>
              </w:rPr>
            </w:pPr>
            <w:r>
              <w:rPr>
                <w:bCs/>
                <w:highlight w:val="green"/>
              </w:rPr>
              <w:t>note: the CP corresponding to the [largest SCS across CCs or SCell SCS]</w:t>
            </w:r>
          </w:p>
          <w:p>
            <w:pPr>
              <w:pStyle w:val="32"/>
              <w:numPr>
                <w:ilvl w:val="2"/>
                <w:numId w:val="6"/>
              </w:numPr>
              <w:overflowPunct w:val="0"/>
              <w:autoSpaceDE w:val="0"/>
              <w:autoSpaceDN w:val="0"/>
              <w:adjustRightInd w:val="0"/>
              <w:spacing w:after="120" w:line="252" w:lineRule="auto"/>
              <w:ind w:firstLineChars="0"/>
              <w:rPr>
                <w:bCs/>
                <w:highlight w:val="green"/>
              </w:rPr>
            </w:pPr>
            <w:r>
              <w:rPr>
                <w:bCs/>
                <w:highlight w:val="green"/>
              </w:rPr>
              <w:t>FFS if additional requirements shall be considered for RTD ≤ 260ns</w:t>
            </w:r>
          </w:p>
          <w:p>
            <w:pPr>
              <w:pStyle w:val="32"/>
              <w:numPr>
                <w:ilvl w:val="2"/>
                <w:numId w:val="6"/>
              </w:numPr>
              <w:overflowPunct w:val="0"/>
              <w:autoSpaceDE w:val="0"/>
              <w:autoSpaceDN w:val="0"/>
              <w:adjustRightInd w:val="0"/>
              <w:spacing w:after="120" w:line="252" w:lineRule="auto"/>
              <w:ind w:firstLineChars="0"/>
              <w:rPr>
                <w:rFonts w:hint="default" w:eastAsia="宋体"/>
                <w:szCs w:val="20"/>
                <w:vertAlign w:val="baseline"/>
                <w:lang w:val="en-US" w:eastAsia="zh-CN"/>
              </w:rPr>
            </w:pPr>
            <w:r>
              <w:rPr>
                <w:bCs/>
                <w:highlight w:val="green"/>
              </w:rPr>
              <w:t xml:space="preserve">Performance requirements (RRM and/or demodulation) need to be introduced for the scenario with RTD </w:t>
            </w:r>
            <w:r>
              <w:rPr>
                <w:rFonts w:hint="eastAsia"/>
                <w:bCs/>
                <w:highlight w:val="green"/>
              </w:rPr>
              <w:t>≤</w:t>
            </w:r>
            <w:r>
              <w:rPr>
                <w:bCs/>
                <w:highlight w:val="green"/>
              </w:rPr>
              <w:t xml:space="preserve"> CP to guarantee proper performance on the SCell</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Furthermore, during the recent RAN plenary#101, it concluded that the Scenario 2a is not considered in R18 NES, so in this document, we provide analysis on the Scenario 1 from the perspective of the SSB-less operation for inter-band CA in FR1 co-located deployment.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SSB-less operation, we provide our views from the following aspects:</w:t>
      </w:r>
    </w:p>
    <w:p>
      <w:pPr>
        <w:pStyle w:val="11"/>
        <w:numPr>
          <w:ilvl w:val="0"/>
          <w:numId w:val="7"/>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side conditions of SSB-less</w:t>
      </w:r>
    </w:p>
    <w:p>
      <w:pPr>
        <w:pStyle w:val="11"/>
        <w:numPr>
          <w:ilvl w:val="0"/>
          <w:numId w:val="7"/>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RRM requirements</w:t>
      </w:r>
    </w:p>
    <w:p>
      <w:pPr>
        <w:pStyle w:val="11"/>
        <w:numPr>
          <w:ilvl w:val="0"/>
          <w:numId w:val="7"/>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 xml:space="preserve">Regular L1/L3 measurements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default" w:cs="Times New Roman"/>
          <w:sz w:val="24"/>
          <w:szCs w:val="24"/>
          <w:lang w:val="en-US" w:eastAsia="zh-CN"/>
        </w:rPr>
      </w:pPr>
      <w:r>
        <w:rPr>
          <w:rFonts w:hint="eastAsia" w:cs="Times New Roman"/>
          <w:sz w:val="24"/>
          <w:szCs w:val="24"/>
          <w:lang w:val="en-US" w:eastAsia="zh-CN"/>
        </w:rPr>
        <w:t>2.1 The side conditions of SSB-less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Scenario 1, we believe the side conditions include the following aspects: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Received time difference (RTD) between the SSB-less SCell and the FR1 inter-band active serving 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difference of the reception power with the FR1 inter-band active serving 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QCL/TCI state indication</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TRS related</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We would discuss them one by one in this document.</w:t>
      </w:r>
    </w:p>
    <w:p>
      <w:pPr>
        <w:pStyle w:val="4"/>
        <w:bidi w:val="0"/>
        <w:rPr>
          <w:rFonts w:hint="default" w:ascii="Helvetica" w:hAnsi="Helvetica" w:eastAsia="MS Mincho" w:cs="Times New Roman"/>
          <w:b/>
          <w:bCs/>
          <w:iCs/>
          <w:kern w:val="32"/>
          <w:sz w:val="24"/>
          <w:szCs w:val="24"/>
          <w:lang w:val="en-US" w:eastAsia="zh-CN" w:bidi="ar-SA"/>
        </w:rPr>
      </w:pPr>
      <w:r>
        <w:rPr>
          <w:rFonts w:hint="eastAsia" w:ascii="Helvetica" w:hAnsi="Helvetica" w:eastAsia="MS Mincho" w:cs="Times New Roman"/>
          <w:b/>
          <w:bCs/>
          <w:iCs/>
          <w:kern w:val="32"/>
          <w:sz w:val="24"/>
          <w:szCs w:val="24"/>
          <w:lang w:val="en-US" w:eastAsia="zh-CN" w:bidi="ar-SA"/>
        </w:rPr>
        <w:t>2.1.1 The side condition of RTD</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Regarding the side condition of RTD, we want to provide some detailed analysis from the perspective of UE operation in practice, to avoid the assumption to be paperwork.</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During last meeting, we propose the EVM window should be considered when determine RTD, here we want to  further clarify the motivation of EVM window size within CP and its impacts on the UE Demod performance. As shown in the following Figure 1, in order to avoid the ISI caused by the time domain waveform to achieve the highest spectrum utilization and lowest out of carrier leakage performance regardless of LTE or NR OFDM, then in both BS and UE specification, EVM window size is specified to guide the proper FFT window truncation to achieve fairly good demod performance and also for fair conformance testing of EVM requirement[3]. The initial simulation results for EVM performance vs CP with WOLA waveform are shown in Figure 1a and Figure 1b with simulation assumptions captured in Appendix. The detailed 5G waveform background extensively discussed in Rel-15 could be found for reference in [4] and Figure 5.1 in Appendix 5.</w:t>
      </w:r>
    </w:p>
    <w:p>
      <w:pPr>
        <w:pStyle w:val="32"/>
        <w:ind w:firstLine="0" w:firstLineChars="0"/>
        <w:rPr>
          <w:rFonts w:eastAsia="Times New Roman"/>
          <w:kern w:val="0"/>
          <w:sz w:val="20"/>
          <w:szCs w:val="20"/>
        </w:rPr>
      </w:pPr>
      <w:r>
        <w:rPr>
          <w:sz w:val="20"/>
          <w:szCs w:val="20"/>
        </w:rPr>
        <w:drawing>
          <wp:inline distT="0" distB="0" distL="0" distR="0">
            <wp:extent cx="6188710" cy="1244600"/>
            <wp:effectExtent l="0" t="0" r="13970" b="4445"/>
            <wp:docPr id="3" name="图片 3" descr="C:\Users\10164284\AppData\Local\Microsoft\Windows\INetCache\Content.MSO\2A211C5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2A211C56.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1244962"/>
                    </a:xfrm>
                    <a:prstGeom prst="rect">
                      <a:avLst/>
                    </a:prstGeom>
                    <a:noFill/>
                    <a:ln>
                      <a:noFill/>
                    </a:ln>
                  </pic:spPr>
                </pic:pic>
              </a:graphicData>
            </a:graphic>
          </wp:inline>
        </w:drawing>
      </w:r>
    </w:p>
    <w:p>
      <w:pPr>
        <w:pStyle w:val="32"/>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1. the illustration of FFT widow based on the EVM window size</w:t>
      </w:r>
    </w:p>
    <w:p>
      <w:pPr>
        <w:jc w:val="center"/>
      </w:pPr>
      <w:r>
        <w:drawing>
          <wp:inline distT="0" distB="0" distL="114300" distR="114300">
            <wp:extent cx="3740150" cy="280543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
                    <a:stretch>
                      <a:fillRect/>
                    </a:stretch>
                  </pic:blipFill>
                  <pic:spPr>
                    <a:xfrm>
                      <a:off x="0" y="0"/>
                      <a:ext cx="3740150" cy="2805430"/>
                    </a:xfrm>
                    <a:prstGeom prst="rect">
                      <a:avLst/>
                    </a:prstGeom>
                    <a:noFill/>
                    <a:ln w="9525">
                      <a:noFill/>
                    </a:ln>
                  </pic:spPr>
                </pic:pic>
              </a:graphicData>
            </a:graphic>
          </wp:inline>
        </w:drawing>
      </w:r>
    </w:p>
    <w:p>
      <w:pPr>
        <w:pStyle w:val="32"/>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1a. EVM performance within CP window size</w:t>
      </w:r>
      <w:r>
        <w:rPr>
          <w:rFonts w:hint="eastAsia" w:ascii="Times New Roman" w:hAnsi="Times New Roman" w:cs="Times New Roman"/>
          <w:kern w:val="0"/>
          <w:sz w:val="20"/>
          <w:szCs w:val="20"/>
          <w:lang w:val="en-US" w:eastAsia="zh-CN" w:bidi="ar-SA"/>
        </w:rPr>
        <w:t xml:space="preserve"> for 15kHz/20MHz</w:t>
      </w:r>
    </w:p>
    <w:p>
      <w:pPr>
        <w:jc w:val="center"/>
      </w:pPr>
      <w:r>
        <w:drawing>
          <wp:inline distT="0" distB="0" distL="114300" distR="114300">
            <wp:extent cx="3686810" cy="2765425"/>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3686810" cy="2765425"/>
                    </a:xfrm>
                    <a:prstGeom prst="rect">
                      <a:avLst/>
                    </a:prstGeom>
                    <a:noFill/>
                    <a:ln w="9525">
                      <a:noFill/>
                    </a:ln>
                  </pic:spPr>
                </pic:pic>
              </a:graphicData>
            </a:graphic>
          </wp:inline>
        </w:drawing>
      </w:r>
    </w:p>
    <w:p>
      <w:pPr>
        <w:pStyle w:val="32"/>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1b.EVM performance within CP window size</w:t>
      </w:r>
      <w:r>
        <w:rPr>
          <w:rFonts w:hint="eastAsia" w:ascii="Times New Roman" w:hAnsi="Times New Roman" w:cs="Times New Roman"/>
          <w:kern w:val="0"/>
          <w:sz w:val="20"/>
          <w:szCs w:val="20"/>
          <w:lang w:val="en-US" w:eastAsia="zh-CN" w:bidi="ar-SA"/>
        </w:rPr>
        <w:t xml:space="preserve"> for 30kHz/100MHz</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inter-band CA with SSB-less operation, the basic motivation for SSB-less operation is to utilize the reference cell(PCell or active SCell) timing for SSB-less SCell operation. As shown in Figure 2, if we reuse the timing of FFT window#1 of reference SCell with SSB for SSB-less SCell, it could be easily found that FFT window#1 in SSB-less SCell is not workable at all since it</w:t>
      </w:r>
      <w:r>
        <w:rPr>
          <w:rFonts w:hint="default" w:eastAsia="宋体"/>
          <w:szCs w:val="20"/>
          <w:lang w:val="en-US" w:eastAsia="zh-CN"/>
        </w:rPr>
        <w:t>’</w:t>
      </w:r>
      <w:r>
        <w:rPr>
          <w:rFonts w:hint="eastAsia" w:eastAsia="宋体"/>
          <w:szCs w:val="20"/>
          <w:lang w:val="en-US" w:eastAsia="zh-CN"/>
        </w:rPr>
        <w:t xml:space="preserve">s out of CP and OFDM#0 window. Indeed this is quite different from intra-band contiguous CA without SSB with RTD as 260ns with same FFT sample timing for different contiguous component carriers. </w:t>
      </w:r>
    </w:p>
    <w:p>
      <w:pPr>
        <w:pStyle w:val="32"/>
        <w:ind w:firstLine="0" w:firstLineChars="0"/>
        <w:jc w:val="center"/>
        <w:rPr>
          <w:sz w:val="20"/>
          <w:szCs w:val="20"/>
        </w:rPr>
      </w:pPr>
      <w:r>
        <w:drawing>
          <wp:inline distT="0" distB="0" distL="114300" distR="114300">
            <wp:extent cx="5897245" cy="1820545"/>
            <wp:effectExtent l="0" t="0" r="635" b="825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8"/>
                    <a:stretch>
                      <a:fillRect/>
                    </a:stretch>
                  </pic:blipFill>
                  <pic:spPr>
                    <a:xfrm>
                      <a:off x="0" y="0"/>
                      <a:ext cx="5897245" cy="1820545"/>
                    </a:xfrm>
                    <a:prstGeom prst="rect">
                      <a:avLst/>
                    </a:prstGeom>
                    <a:noFill/>
                    <a:ln>
                      <a:noFill/>
                    </a:ln>
                  </pic:spPr>
                </pic:pic>
              </a:graphicData>
            </a:graphic>
          </wp:inline>
        </w:drawing>
      </w:r>
    </w:p>
    <w:p>
      <w:pPr>
        <w:pStyle w:val="32"/>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2. SSB-less Scell timing operation -Alternative 1 [not workable]</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order to address the above problems, the coarse reference timing from reference cell with SSB should be as implemented shown as following. </w:t>
      </w:r>
    </w:p>
    <w:p>
      <w:pPr>
        <w:pStyle w:val="32"/>
        <w:ind w:firstLine="0" w:firstLineChars="0"/>
        <w:jc w:val="center"/>
        <w:rPr>
          <w:rFonts w:eastAsia="Times New Roman"/>
          <w:kern w:val="0"/>
          <w:sz w:val="20"/>
          <w:szCs w:val="20"/>
        </w:rPr>
      </w:pPr>
      <w:r>
        <w:rPr>
          <w:sz w:val="20"/>
          <w:szCs w:val="20"/>
        </w:rPr>
        <w:drawing>
          <wp:inline distT="0" distB="0" distL="0" distR="0">
            <wp:extent cx="6188710" cy="2340610"/>
            <wp:effectExtent l="0" t="0" r="13970" b="5715"/>
            <wp:docPr id="6" name="图片 6" descr="C:\Users\10164284\AppData\Local\Microsoft\Windows\INetCache\Content.MSO\A49E78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A49E788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88710" cy="2340996"/>
                    </a:xfrm>
                    <a:prstGeom prst="rect">
                      <a:avLst/>
                    </a:prstGeom>
                    <a:noFill/>
                    <a:ln>
                      <a:noFill/>
                    </a:ln>
                  </pic:spPr>
                </pic:pic>
              </a:graphicData>
            </a:graphic>
          </wp:inline>
        </w:drawing>
      </w:r>
    </w:p>
    <w:p>
      <w:pPr>
        <w:pStyle w:val="32"/>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3. SSB-less Scell timing operation -Alternative 2</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Indeed UE knows the start timing of OFDM symbol from reference cell with SSB ideally, then UE could use the FFT timing as highlighted in green from reference cell for FFT window truncation of SCell without SSB for TRS for SCell activation and fine timing tracking for the following demodulation functionality on SCell without SSB DL. </w:t>
      </w:r>
    </w:p>
    <w:p>
      <w:pPr>
        <w:pStyle w:val="11"/>
        <w:tabs>
          <w:tab w:val="left" w:pos="226"/>
          <w:tab w:val="left" w:pos="284"/>
          <w:tab w:val="left" w:pos="5103"/>
        </w:tabs>
        <w:snapToGrid w:val="0"/>
        <w:spacing w:before="156" w:beforeLines="50"/>
        <w:rPr>
          <w:rFonts w:hint="eastAsia" w:ascii="Times New Roman" w:hAnsi="Times New Roman" w:eastAsia="宋体" w:cs="Times New Roman"/>
          <w:kern w:val="0"/>
          <w:sz w:val="20"/>
          <w:szCs w:val="20"/>
          <w:lang w:val="en-US" w:eastAsia="zh-CN" w:bidi="ar-SA"/>
        </w:rPr>
      </w:pPr>
      <w:r>
        <w:rPr>
          <w:rFonts w:hint="eastAsia" w:eastAsia="宋体"/>
          <w:szCs w:val="20"/>
          <w:lang w:val="en-US" w:eastAsia="zh-CN"/>
        </w:rPr>
        <w:t>However in general, such kind of FFT window is not pursed for reception due to the uncertainty of EVM performance out of EVM window size in general. As we mentioned before, this seems to be workable ideally without considering any timing estimation error from reference cell with SSB. However as we all know that DL timing error from reference cell with SSB should be well considered similar as other timing related RRM topics. In addition, timing difference among different Rx chains were not discussed and analyzed before, which should be also part of contribution for timing difference reached at baseband among different bands in the inter-band CA scenario. P-TRS based time estimation error should be also considered for SCell with SSB and EVM window should be also considered as well.</w:t>
      </w:r>
    </w:p>
    <w:p>
      <w:pPr>
        <w:pStyle w:val="32"/>
        <w:ind w:firstLine="0" w:firstLineChars="0"/>
        <w:jc w:val="center"/>
        <w:rPr>
          <w:kern w:val="0"/>
          <w:sz w:val="20"/>
          <w:szCs w:val="20"/>
        </w:rPr>
      </w:pPr>
      <w:r>
        <w:rPr>
          <w:rFonts w:hint="eastAsia"/>
          <w:sz w:val="20"/>
          <w:szCs w:val="20"/>
        </w:rPr>
        <w:drawing>
          <wp:inline distT="0" distB="0" distL="0" distR="0">
            <wp:extent cx="3587750" cy="2209800"/>
            <wp:effectExtent l="0" t="0" r="0" b="0"/>
            <wp:docPr id="16" name="图片 16" descr="C:\Users\10164284\AppData\Local\Microsoft\Windows\INetCache\Content.MSO\BCE689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164284\AppData\Local\Microsoft\Windows\INetCache\Content.MSO\BCE6893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87750" cy="2209800"/>
                    </a:xfrm>
                    <a:prstGeom prst="rect">
                      <a:avLst/>
                    </a:prstGeom>
                    <a:noFill/>
                    <a:ln>
                      <a:noFill/>
                    </a:ln>
                  </pic:spPr>
                </pic:pic>
              </a:graphicData>
            </a:graphic>
          </wp:inline>
        </w:drawing>
      </w:r>
    </w:p>
    <w:p>
      <w:pPr>
        <w:pStyle w:val="32"/>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4. the practical RTD reached at the baseband for RRM/deomd</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Based on the above considerations, we propose to use the following components to specify the required RTD requirement for inter-band CA with SSB-less operation. </w:t>
      </w:r>
    </w:p>
    <w:p>
      <w:pPr>
        <w:pStyle w:val="32"/>
        <w:ind w:firstLine="0" w:firstLineChars="0"/>
        <w:jc w:val="center"/>
        <w:rPr>
          <w:b/>
          <w:bCs/>
          <w:kern w:val="0"/>
          <w:sz w:val="20"/>
          <w:szCs w:val="20"/>
        </w:rPr>
      </w:pPr>
      <w:r>
        <w:rPr>
          <w:rFonts w:hint="eastAsia"/>
          <w:b/>
          <w:bCs/>
          <w:kern w:val="0"/>
          <w:sz w:val="20"/>
          <w:szCs w:val="20"/>
        </w:rPr>
        <w:t xml:space="preserve">Table 1. timing budget for the </w:t>
      </w:r>
      <w:r>
        <w:rPr>
          <w:rFonts w:hint="eastAsia"/>
          <w:b/>
          <w:bCs/>
          <w:kern w:val="0"/>
          <w:sz w:val="20"/>
          <w:szCs w:val="20"/>
          <w:lang w:val="en-US" w:eastAsia="zh-CN"/>
        </w:rPr>
        <w:t xml:space="preserve">allowable </w:t>
      </w:r>
      <w:r>
        <w:rPr>
          <w:rFonts w:hint="eastAsia"/>
          <w:b/>
          <w:bCs/>
          <w:kern w:val="0"/>
          <w:sz w:val="20"/>
          <w:szCs w:val="20"/>
        </w:rPr>
        <w:t>RTD for inter-band CA with S</w:t>
      </w:r>
      <w:r>
        <w:rPr>
          <w:rFonts w:hint="eastAsia"/>
          <w:b/>
          <w:bCs/>
          <w:kern w:val="0"/>
          <w:sz w:val="20"/>
          <w:szCs w:val="20"/>
          <w:lang w:val="en-US" w:eastAsia="zh-CN"/>
        </w:rPr>
        <w:t>C</w:t>
      </w:r>
      <w:r>
        <w:rPr>
          <w:rFonts w:hint="eastAsia"/>
          <w:b/>
          <w:bCs/>
          <w:kern w:val="0"/>
          <w:sz w:val="20"/>
          <w:szCs w:val="20"/>
        </w:rPr>
        <w:t>ell without SSB</w:t>
      </w:r>
    </w:p>
    <w:tbl>
      <w:tblPr>
        <w:tblStyle w:val="19"/>
        <w:tblW w:w="7830" w:type="dxa"/>
        <w:jc w:val="center"/>
        <w:tblLayout w:type="fixed"/>
        <w:tblCellMar>
          <w:top w:w="0" w:type="dxa"/>
          <w:left w:w="108" w:type="dxa"/>
          <w:bottom w:w="0" w:type="dxa"/>
          <w:right w:w="108" w:type="dxa"/>
        </w:tblCellMar>
      </w:tblPr>
      <w:tblGrid>
        <w:gridCol w:w="824"/>
        <w:gridCol w:w="744"/>
        <w:gridCol w:w="826"/>
        <w:gridCol w:w="826"/>
        <w:gridCol w:w="1004"/>
        <w:gridCol w:w="1004"/>
        <w:gridCol w:w="1004"/>
        <w:gridCol w:w="1598"/>
      </w:tblGrid>
      <w:tr>
        <w:tblPrEx>
          <w:tblCellMar>
            <w:top w:w="0" w:type="dxa"/>
            <w:left w:w="108" w:type="dxa"/>
            <w:bottom w:w="0" w:type="dxa"/>
            <w:right w:w="108" w:type="dxa"/>
          </w:tblCellMar>
        </w:tblPrEx>
        <w:trPr>
          <w:trHeight w:val="90"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r>
              <w:rPr>
                <w:color w:val="000000"/>
                <w:sz w:val="20"/>
                <w:szCs w:val="20"/>
              </w:rPr>
              <w:t>SSB SCS</w:t>
            </w:r>
            <w:r>
              <w:rPr>
                <w:color w:val="000000"/>
                <w:sz w:val="20"/>
                <w:szCs w:val="20"/>
                <w:vertAlign w:val="superscript"/>
              </w:rPr>
              <w:t>1</w:t>
            </w:r>
            <w:r>
              <w:rPr>
                <w:color w:val="000000"/>
                <w:sz w:val="20"/>
                <w:szCs w:val="20"/>
              </w:rPr>
              <w:br w:type="textWrapping"/>
            </w:r>
            <w:r>
              <w:rPr>
                <w:color w:val="000000"/>
                <w:sz w:val="20"/>
                <w:szCs w:val="20"/>
              </w:rPr>
              <w:t>(kHz)</w:t>
            </w:r>
          </w:p>
        </w:tc>
        <w:tc>
          <w:tcPr>
            <w:tcW w:w="744"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20"/>
                <w:szCs w:val="20"/>
              </w:rPr>
            </w:pPr>
            <w:r>
              <w:rPr>
                <w:color w:val="000000"/>
                <w:sz w:val="20"/>
                <w:szCs w:val="20"/>
              </w:rPr>
              <w:t>D</w:t>
            </w:r>
            <w:r>
              <w:rPr>
                <w:rFonts w:hint="eastAsia"/>
                <w:color w:val="000000"/>
                <w:sz w:val="20"/>
                <w:szCs w:val="20"/>
              </w:rPr>
              <w:t>ata</w:t>
            </w:r>
            <w:r>
              <w:rPr>
                <w:color w:val="000000"/>
                <w:sz w:val="20"/>
                <w:szCs w:val="20"/>
              </w:rPr>
              <w:t xml:space="preserve"> SCS</w:t>
            </w:r>
            <w:r>
              <w:rPr>
                <w:color w:val="000000"/>
                <w:sz w:val="20"/>
                <w:szCs w:val="20"/>
                <w:vertAlign w:val="superscript"/>
              </w:rPr>
              <w:t>2</w:t>
            </w:r>
            <w:r>
              <w:rPr>
                <w:color w:val="000000"/>
                <w:sz w:val="20"/>
                <w:szCs w:val="20"/>
              </w:rPr>
              <w:t xml:space="preserve"> </w:t>
            </w:r>
            <w:r>
              <w:rPr>
                <w:color w:val="000000"/>
                <w:sz w:val="20"/>
                <w:szCs w:val="20"/>
              </w:rPr>
              <w:br w:type="textWrapping"/>
            </w:r>
            <w:r>
              <w:rPr>
                <w:color w:val="000000"/>
                <w:sz w:val="20"/>
                <w:szCs w:val="20"/>
              </w:rPr>
              <w:t>(kHz)</w:t>
            </w:r>
          </w:p>
        </w:tc>
        <w:tc>
          <w:tcPr>
            <w:tcW w:w="826" w:type="dxa"/>
            <w:tcBorders>
              <w:top w:val="single" w:color="auto" w:sz="4" w:space="0"/>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CP</w:t>
            </w:r>
          </w:p>
        </w:tc>
        <w:tc>
          <w:tcPr>
            <w:tcW w:w="826"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 xml:space="preserve">Timing error 1 </w:t>
            </w:r>
            <w:r>
              <w:rPr>
                <w:color w:val="000000"/>
                <w:sz w:val="20"/>
                <w:szCs w:val="20"/>
                <w:vertAlign w:val="superscript"/>
              </w:rPr>
              <w:t>3</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 xml:space="preserve">RTE </w:t>
            </w:r>
            <w:r>
              <w:rPr>
                <w:color w:val="000000"/>
                <w:sz w:val="20"/>
                <w:szCs w:val="20"/>
                <w:vertAlign w:val="superscript"/>
              </w:rPr>
              <w:t>4</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Timing error</w:t>
            </w:r>
            <w:r>
              <w:rPr>
                <w:rFonts w:hint="eastAsia"/>
                <w:color w:val="000000"/>
                <w:sz w:val="20"/>
                <w:szCs w:val="20"/>
              </w:rPr>
              <w:t xml:space="preserve"> 2</w:t>
            </w:r>
            <w:r>
              <w:rPr>
                <w:color w:val="000000"/>
                <w:sz w:val="20"/>
                <w:szCs w:val="20"/>
              </w:rPr>
              <w:t xml:space="preserve"> </w:t>
            </w:r>
            <w:r>
              <w:rPr>
                <w:color w:val="000000"/>
                <w:sz w:val="20"/>
                <w:szCs w:val="20"/>
                <w:vertAlign w:val="superscript"/>
              </w:rPr>
              <w:t>5</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Margin for EVM window</w:t>
            </w:r>
            <w:r>
              <w:rPr>
                <w:rFonts w:hint="eastAsia"/>
                <w:color w:val="000000"/>
                <w:sz w:val="20"/>
                <w:szCs w:val="20"/>
              </w:rPr>
              <w:t xml:space="preserve"> </w:t>
            </w:r>
            <w:r>
              <w:rPr>
                <w:rFonts w:hint="eastAsia"/>
                <w:color w:val="000000"/>
                <w:sz w:val="20"/>
                <w:szCs w:val="20"/>
                <w:vertAlign w:val="superscript"/>
              </w:rPr>
              <w:t>6</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Required RTD</w:t>
            </w:r>
          </w:p>
          <w:p>
            <w:pPr>
              <w:jc w:val="center"/>
              <w:rPr>
                <w:color w:val="FF0000"/>
                <w:sz w:val="20"/>
                <w:szCs w:val="20"/>
                <w:highlight w:val="yellow"/>
              </w:rPr>
            </w:pPr>
            <w:r>
              <w:rPr>
                <w:rFonts w:hint="eastAsia"/>
                <w:color w:val="FF0000"/>
                <w:sz w:val="20"/>
                <w:szCs w:val="20"/>
              </w:rPr>
              <w:t>(ns)</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4.7µs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390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940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2915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sz w:val="20"/>
                <w:szCs w:val="20"/>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460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1157</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4.7µs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940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3045</w:t>
            </w:r>
            <w:r>
              <w:rPr>
                <w:rFonts w:hint="eastAsia"/>
                <w:color w:val="FF0000"/>
                <w:kern w:val="0"/>
                <w:sz w:val="20"/>
                <w:szCs w:val="20"/>
                <w:lang w:bidi="ar"/>
              </w:rPr>
              <w:t>-&gt;3000</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sz w:val="20"/>
                <w:szCs w:val="20"/>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460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1222</w:t>
            </w:r>
          </w:p>
        </w:tc>
      </w:tr>
      <w:tr>
        <w:tblPrEx>
          <w:tblCellMar>
            <w:top w:w="0" w:type="dxa"/>
            <w:left w:w="108" w:type="dxa"/>
            <w:bottom w:w="0" w:type="dxa"/>
            <w:right w:w="108" w:type="dxa"/>
          </w:tblCellMar>
        </w:tblPrEx>
        <w:trPr>
          <w:trHeight w:val="300" w:hRule="atLeast"/>
          <w:jc w:val="center"/>
        </w:trPr>
        <w:tc>
          <w:tcPr>
            <w:tcW w:w="7830"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60" w:lineRule="auto"/>
              <w:jc w:val="left"/>
              <w:rPr>
                <w:sz w:val="15"/>
                <w:szCs w:val="15"/>
              </w:rPr>
            </w:pPr>
            <w:r>
              <w:rPr>
                <w:rFonts w:hint="eastAsia"/>
                <w:sz w:val="15"/>
                <w:szCs w:val="15"/>
              </w:rPr>
              <w:t xml:space="preserve">NOTE 1: SSB refer to </w:t>
            </w:r>
            <w:r>
              <w:rPr>
                <w:rFonts w:hint="eastAsia" w:eastAsia="宋体"/>
                <w:sz w:val="15"/>
                <w:szCs w:val="15"/>
                <w:lang w:val="en-US" w:eastAsia="zh-CN"/>
              </w:rPr>
              <w:t xml:space="preserve">reference cell </w:t>
            </w:r>
            <w:r>
              <w:rPr>
                <w:rFonts w:hint="eastAsia"/>
                <w:sz w:val="15"/>
                <w:szCs w:val="15"/>
              </w:rPr>
              <w:t>with SSB;</w:t>
            </w:r>
          </w:p>
          <w:p>
            <w:pPr>
              <w:spacing w:after="0" w:line="260" w:lineRule="auto"/>
              <w:jc w:val="left"/>
              <w:rPr>
                <w:sz w:val="15"/>
                <w:szCs w:val="15"/>
              </w:rPr>
            </w:pPr>
            <w:r>
              <w:rPr>
                <w:rFonts w:hint="eastAsia"/>
                <w:sz w:val="15"/>
                <w:szCs w:val="15"/>
              </w:rPr>
              <w:t>NOTE 2: SCS refer to the DL SCS of S</w:t>
            </w:r>
            <w:r>
              <w:rPr>
                <w:rFonts w:hint="eastAsia" w:eastAsia="宋体"/>
                <w:sz w:val="15"/>
                <w:szCs w:val="15"/>
                <w:lang w:val="en-US" w:eastAsia="zh-CN"/>
              </w:rPr>
              <w:t>C</w:t>
            </w:r>
            <w:r>
              <w:rPr>
                <w:rFonts w:hint="eastAsia"/>
                <w:sz w:val="15"/>
                <w:szCs w:val="15"/>
              </w:rPr>
              <w:t>ell without SSB;</w:t>
            </w:r>
          </w:p>
          <w:p>
            <w:pPr>
              <w:spacing w:after="0" w:line="260" w:lineRule="auto"/>
              <w:jc w:val="left"/>
              <w:rPr>
                <w:sz w:val="15"/>
                <w:szCs w:val="15"/>
              </w:rPr>
            </w:pPr>
            <w:r>
              <w:rPr>
                <w:rFonts w:hint="eastAsia"/>
                <w:sz w:val="15"/>
                <w:szCs w:val="15"/>
              </w:rPr>
              <w:t xml:space="preserve">NOTE 3: SSB based timing estimation error from </w:t>
            </w:r>
            <w:r>
              <w:rPr>
                <w:rFonts w:hint="eastAsia" w:eastAsia="宋体"/>
                <w:sz w:val="15"/>
                <w:szCs w:val="15"/>
                <w:lang w:val="en-US" w:eastAsia="zh-CN"/>
              </w:rPr>
              <w:t>reference cell</w:t>
            </w:r>
            <w:r>
              <w:rPr>
                <w:rFonts w:hint="eastAsia"/>
                <w:sz w:val="15"/>
                <w:szCs w:val="15"/>
              </w:rPr>
              <w:t xml:space="preserve"> with SSB, we reuse the Te requirement as SSB based timing estimation error since Te is mainly decided by DL SSB timing estimation error, Margins and acceptable uplink performance degradation@70% throughput; </w:t>
            </w:r>
          </w:p>
          <w:p>
            <w:pPr>
              <w:spacing w:after="0" w:line="260" w:lineRule="auto"/>
              <w:jc w:val="left"/>
              <w:rPr>
                <w:sz w:val="15"/>
                <w:szCs w:val="15"/>
              </w:rPr>
            </w:pPr>
            <w:r>
              <w:rPr>
                <w:rFonts w:hint="eastAsia"/>
                <w:sz w:val="15"/>
                <w:szCs w:val="15"/>
              </w:rPr>
              <w:t>NOTE 4: RTE refer to the Relative Timing Difference among different Rx chains for different bands, we reuse the TAE error from UL MIMO in 6.4D.3 of TS 38.101-1 as starting point and open for further discussion;</w:t>
            </w:r>
          </w:p>
          <w:p>
            <w:pPr>
              <w:spacing w:after="0" w:line="260" w:lineRule="auto"/>
              <w:jc w:val="left"/>
              <w:rPr>
                <w:sz w:val="15"/>
                <w:szCs w:val="15"/>
              </w:rPr>
            </w:pPr>
            <w:r>
              <w:rPr>
                <w:rFonts w:hint="eastAsia"/>
                <w:sz w:val="15"/>
                <w:szCs w:val="15"/>
              </w:rPr>
              <w:t>NOTE 5: TRS based timing estimation error from SSB-less S</w:t>
            </w:r>
            <w:r>
              <w:rPr>
                <w:rFonts w:hint="eastAsia" w:eastAsia="宋体"/>
                <w:sz w:val="15"/>
                <w:szCs w:val="15"/>
                <w:lang w:val="en-US" w:eastAsia="zh-CN"/>
              </w:rPr>
              <w:t>C</w:t>
            </w:r>
            <w:r>
              <w:rPr>
                <w:rFonts w:hint="eastAsia"/>
                <w:sz w:val="15"/>
                <w:szCs w:val="15"/>
              </w:rPr>
              <w:t>ell, please find the TRS based timing estimation error in the following section;</w:t>
            </w:r>
          </w:p>
          <w:p>
            <w:pPr>
              <w:spacing w:after="0" w:line="260" w:lineRule="auto"/>
              <w:jc w:val="left"/>
              <w:rPr>
                <w:sz w:val="15"/>
                <w:szCs w:val="15"/>
              </w:rPr>
            </w:pPr>
            <w:r>
              <w:rPr>
                <w:rFonts w:hint="eastAsia"/>
                <w:sz w:val="15"/>
                <w:szCs w:val="15"/>
              </w:rPr>
              <w:t>NOTE 6: In order to do TRS base</w:t>
            </w:r>
            <w:r>
              <w:rPr>
                <w:rFonts w:hint="eastAsia" w:eastAsia="宋体"/>
                <w:sz w:val="15"/>
                <w:szCs w:val="15"/>
                <w:lang w:val="en-US" w:eastAsia="zh-CN"/>
              </w:rPr>
              <w:t>d</w:t>
            </w:r>
            <w:r>
              <w:rPr>
                <w:rFonts w:hint="eastAsia"/>
                <w:sz w:val="15"/>
                <w:szCs w:val="15"/>
              </w:rPr>
              <w:t xml:space="preserve"> fine tim</w:t>
            </w:r>
            <w:r>
              <w:rPr>
                <w:rFonts w:hint="eastAsia" w:eastAsia="宋体"/>
                <w:sz w:val="15"/>
                <w:szCs w:val="15"/>
                <w:lang w:val="en-US" w:eastAsia="zh-CN"/>
              </w:rPr>
              <w:t>e</w:t>
            </w:r>
            <w:r>
              <w:rPr>
                <w:rFonts w:hint="eastAsia"/>
                <w:sz w:val="15"/>
                <w:szCs w:val="15"/>
              </w:rPr>
              <w:t xml:space="preserve"> tracking outside of EVM window of S</w:t>
            </w:r>
            <w:r>
              <w:rPr>
                <w:rFonts w:hint="eastAsia" w:eastAsia="宋体"/>
                <w:sz w:val="15"/>
                <w:szCs w:val="15"/>
                <w:lang w:val="en-US" w:eastAsia="zh-CN"/>
              </w:rPr>
              <w:t>C</w:t>
            </w:r>
            <w:r>
              <w:rPr>
                <w:rFonts w:hint="eastAsia"/>
                <w:sz w:val="15"/>
                <w:szCs w:val="15"/>
              </w:rPr>
              <w:t>ell without SSB, margin for EVM window size should be equal to (CP-EVM window)/2=(20-30)*CP which depends on the BW and SCS configuration.</w:t>
            </w:r>
          </w:p>
          <w:p>
            <w:pPr>
              <w:spacing w:after="0" w:line="260" w:lineRule="auto"/>
              <w:jc w:val="left"/>
              <w:rPr>
                <w:sz w:val="15"/>
                <w:szCs w:val="15"/>
              </w:rPr>
            </w:pPr>
            <w:r>
              <w:rPr>
                <w:rFonts w:hint="eastAsia"/>
                <w:sz w:val="15"/>
                <w:szCs w:val="15"/>
              </w:rPr>
              <w:t xml:space="preserve">NOTE 7: The </w:t>
            </w:r>
            <w:r>
              <w:rPr>
                <w:rFonts w:hint="eastAsia" w:eastAsia="宋体"/>
                <w:sz w:val="15"/>
                <w:szCs w:val="15"/>
                <w:lang w:val="en-US" w:eastAsia="zh-CN"/>
              </w:rPr>
              <w:t xml:space="preserve">allowable </w:t>
            </w:r>
            <w:r>
              <w:rPr>
                <w:rFonts w:hint="eastAsia"/>
                <w:sz w:val="15"/>
                <w:szCs w:val="15"/>
              </w:rPr>
              <w:t xml:space="preserve">RTD is equal to </w:t>
            </w:r>
            <w:r>
              <w:rPr>
                <w:rFonts w:hint="eastAsia"/>
                <w:b/>
                <w:bCs/>
                <w:sz w:val="15"/>
                <w:szCs w:val="15"/>
              </w:rPr>
              <w:t>CP- Timing error 1-RTE-Timing error 2-Margin for EVM window</w:t>
            </w:r>
            <w:r>
              <w:rPr>
                <w:rFonts w:hint="eastAsia"/>
                <w:sz w:val="15"/>
                <w:szCs w:val="15"/>
              </w:rPr>
              <w:t>.</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TRS based timing estimation error on SCell, similar as SSB based timing estimation error which comprise the following two factors：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1）T</w:t>
      </w:r>
      <w:r>
        <w:rPr>
          <w:rFonts w:hint="eastAsia" w:eastAsia="宋体"/>
          <w:sz w:val="15"/>
          <w:szCs w:val="15"/>
          <w:lang w:val="en-US" w:eastAsia="zh-CN"/>
        </w:rPr>
        <w:t>e</w:t>
      </w:r>
      <w:r>
        <w:rPr>
          <w:rFonts w:hint="eastAsia" w:eastAsia="宋体"/>
          <w:szCs w:val="20"/>
          <w:lang w:val="en-US" w:eastAsia="zh-CN"/>
        </w:rPr>
        <w:t xml:space="preserve"> without margin which is proportional to 1/BW;</w:t>
      </w:r>
    </w:p>
    <w:p>
      <w:pPr>
        <w:pStyle w:val="11"/>
        <w:tabs>
          <w:tab w:val="left" w:pos="226"/>
          <w:tab w:val="left" w:pos="284"/>
          <w:tab w:val="left" w:pos="5103"/>
        </w:tabs>
        <w:snapToGrid w:val="0"/>
        <w:spacing w:before="156" w:beforeLines="50"/>
        <w:rPr>
          <w:rFonts w:hint="eastAsia" w:eastAsia="宋体"/>
          <w:lang w:eastAsia="zh-CN"/>
        </w:rPr>
      </w:pPr>
      <w:r>
        <w:rPr>
          <w:rFonts w:hint="eastAsia" w:eastAsia="宋体"/>
          <w:szCs w:val="20"/>
          <w:lang w:val="en-US" w:eastAsia="zh-CN"/>
        </w:rPr>
        <w:t>2）Margin for Te considering estimation error in DL timing and RF delay difference in UL vs DL.</w:t>
      </w:r>
    </w:p>
    <w:p>
      <w:pPr>
        <w:pStyle w:val="32"/>
        <w:ind w:firstLine="0" w:firstLineChars="0"/>
        <w:jc w:val="center"/>
      </w:pPr>
      <w:r>
        <w:rPr>
          <w:rFonts w:hint="eastAsia"/>
          <w:b/>
          <w:bCs/>
          <w:kern w:val="0"/>
          <w:sz w:val="20"/>
          <w:szCs w:val="20"/>
        </w:rPr>
        <w:t>Table 2. initial timing error for SSB based initial timing error</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486"/>
        <w:gridCol w:w="1486"/>
        <w:gridCol w:w="1768"/>
        <w:gridCol w:w="1768"/>
        <w:gridCol w:w="1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single" w:color="auto" w:sz="4" w:space="0"/>
              <w:left w:val="single" w:color="auto" w:sz="4" w:space="0"/>
              <w:bottom w:val="single" w:color="auto" w:sz="4" w:space="0"/>
              <w:right w:val="single" w:color="auto" w:sz="4" w:space="0"/>
            </w:tcBorders>
            <w:vAlign w:val="center"/>
          </w:tcPr>
          <w:p>
            <w:pPr>
              <w:pStyle w:val="37"/>
            </w:pPr>
            <w:r>
              <w:t>Frequency Range</w:t>
            </w:r>
          </w:p>
        </w:tc>
        <w:tc>
          <w:tcPr>
            <w:tcW w:w="781" w:type="pct"/>
            <w:tcBorders>
              <w:top w:val="single" w:color="auto" w:sz="4" w:space="0"/>
              <w:left w:val="single" w:color="auto" w:sz="4" w:space="0"/>
              <w:bottom w:val="single" w:color="auto" w:sz="4" w:space="0"/>
              <w:right w:val="single" w:color="auto" w:sz="4" w:space="0"/>
            </w:tcBorders>
            <w:vAlign w:val="center"/>
          </w:tcPr>
          <w:p>
            <w:pPr>
              <w:pStyle w:val="37"/>
            </w:pPr>
            <w:r>
              <w:t>SCS of SSB signals (kHz)</w:t>
            </w:r>
          </w:p>
        </w:tc>
        <w:tc>
          <w:tcPr>
            <w:tcW w:w="781" w:type="pct"/>
            <w:tcBorders>
              <w:top w:val="single" w:color="auto" w:sz="4" w:space="0"/>
              <w:left w:val="single" w:color="auto" w:sz="4" w:space="0"/>
              <w:bottom w:val="single" w:color="auto" w:sz="4" w:space="0"/>
              <w:right w:val="single" w:color="auto" w:sz="4" w:space="0"/>
            </w:tcBorders>
            <w:vAlign w:val="center"/>
          </w:tcPr>
          <w:p>
            <w:pPr>
              <w:pStyle w:val="37"/>
            </w:pPr>
            <w:r>
              <w:t>SCS of uplink signals (kHz)</w:t>
            </w:r>
          </w:p>
        </w:tc>
        <w:tc>
          <w:tcPr>
            <w:tcW w:w="929" w:type="pct"/>
            <w:tcBorders>
              <w:top w:val="single" w:color="auto" w:sz="4" w:space="0"/>
              <w:left w:val="single" w:color="auto" w:sz="4" w:space="0"/>
              <w:bottom w:val="single" w:color="auto" w:sz="4" w:space="0"/>
              <w:right w:val="single" w:color="auto" w:sz="4" w:space="0"/>
            </w:tcBorders>
            <w:vAlign w:val="center"/>
          </w:tcPr>
          <w:p>
            <w:pPr>
              <w:pStyle w:val="37"/>
            </w:pPr>
            <w:r>
              <w:t>T</w:t>
            </w:r>
            <w:r>
              <w:rPr>
                <w:vertAlign w:val="subscript"/>
              </w:rPr>
              <w:t>e</w:t>
            </w:r>
          </w:p>
        </w:tc>
        <w:tc>
          <w:tcPr>
            <w:tcW w:w="929" w:type="pct"/>
            <w:tcBorders>
              <w:top w:val="single" w:color="auto" w:sz="4" w:space="0"/>
              <w:left w:val="single" w:color="auto" w:sz="4" w:space="0"/>
              <w:bottom w:val="single" w:color="auto" w:sz="4" w:space="0"/>
              <w:right w:val="single" w:color="auto" w:sz="4" w:space="0"/>
            </w:tcBorders>
            <w:vAlign w:val="center"/>
          </w:tcPr>
          <w:p>
            <w:pPr>
              <w:pStyle w:val="37"/>
              <w:rPr>
                <w:rFonts w:eastAsia="宋体"/>
                <w:lang w:val="en-US" w:eastAsia="zh-CN"/>
              </w:rPr>
            </w:pPr>
            <w:r>
              <w:rPr>
                <w:rFonts w:hint="eastAsia" w:eastAsia="宋体"/>
                <w:lang w:val="en-US" w:eastAsia="zh-CN"/>
              </w:rPr>
              <w:t>Te without margin</w:t>
            </w:r>
          </w:p>
        </w:tc>
        <w:tc>
          <w:tcPr>
            <w:tcW w:w="929" w:type="pct"/>
            <w:tcBorders>
              <w:top w:val="single" w:color="auto" w:sz="4" w:space="0"/>
              <w:left w:val="single" w:color="auto" w:sz="4" w:space="0"/>
              <w:bottom w:val="single" w:color="auto" w:sz="4" w:space="0"/>
              <w:right w:val="single" w:color="auto" w:sz="4" w:space="0"/>
            </w:tcBorders>
            <w:vAlign w:val="center"/>
          </w:tcPr>
          <w:p>
            <w:pPr>
              <w:pStyle w:val="37"/>
              <w:rPr>
                <w:rFonts w:eastAsia="宋体"/>
                <w:lang w:val="en-US" w:eastAsia="zh-CN"/>
              </w:rPr>
            </w:pPr>
            <w:r>
              <w:rPr>
                <w:rFonts w:hint="eastAsia" w:eastAsia="宋体"/>
                <w:lang w:val="en-US" w:eastAsia="zh-CN"/>
              </w:rPr>
              <w:t>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single" w:color="auto" w:sz="4" w:space="0"/>
              <w:left w:val="single" w:color="auto" w:sz="4" w:space="0"/>
              <w:bottom w:val="nil"/>
              <w:right w:val="single" w:color="auto" w:sz="4" w:space="0"/>
            </w:tcBorders>
            <w:vAlign w:val="center"/>
          </w:tcPr>
          <w:p>
            <w:pPr>
              <w:pStyle w:val="38"/>
            </w:pPr>
            <w:r>
              <w:t>1</w:t>
            </w:r>
          </w:p>
        </w:tc>
        <w:tc>
          <w:tcPr>
            <w:tcW w:w="781" w:type="pct"/>
            <w:tcBorders>
              <w:top w:val="single" w:color="auto" w:sz="4" w:space="0"/>
              <w:left w:val="single" w:color="auto" w:sz="4" w:space="0"/>
              <w:bottom w:val="nil"/>
              <w:right w:val="single" w:color="auto" w:sz="4" w:space="0"/>
            </w:tcBorders>
            <w:vAlign w:val="center"/>
          </w:tcPr>
          <w:p>
            <w:pPr>
              <w:pStyle w:val="38"/>
            </w:pPr>
            <w:r>
              <w:t>15</w:t>
            </w:r>
          </w:p>
        </w:tc>
        <w:tc>
          <w:tcPr>
            <w:tcW w:w="781" w:type="pct"/>
            <w:tcBorders>
              <w:top w:val="single" w:color="auto" w:sz="4" w:space="0"/>
              <w:left w:val="single" w:color="auto" w:sz="4" w:space="0"/>
              <w:bottom w:val="single" w:color="auto" w:sz="4" w:space="0"/>
              <w:right w:val="single" w:color="auto" w:sz="4" w:space="0"/>
            </w:tcBorders>
          </w:tcPr>
          <w:p>
            <w:pPr>
              <w:pStyle w:val="38"/>
            </w:pPr>
            <w:r>
              <w:t>15</w:t>
            </w:r>
          </w:p>
        </w:tc>
        <w:tc>
          <w:tcPr>
            <w:tcW w:w="929" w:type="pct"/>
            <w:tcBorders>
              <w:top w:val="single" w:color="auto" w:sz="4" w:space="0"/>
              <w:left w:val="single" w:color="auto" w:sz="4" w:space="0"/>
              <w:bottom w:val="single" w:color="auto" w:sz="4" w:space="0"/>
              <w:right w:val="single" w:color="auto" w:sz="4" w:space="0"/>
            </w:tcBorders>
          </w:tcPr>
          <w:p>
            <w:pPr>
              <w:pStyle w:val="38"/>
            </w:pPr>
            <w:r>
              <w:t>12*64*T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sz w:val="20"/>
                <w:highlight w:val="none"/>
              </w:rPr>
              <w:t>4.2</w:t>
            </w:r>
            <w:r>
              <w:rPr>
                <w:rFonts w:hint="eastAsia" w:eastAsia="宋体"/>
                <w:sz w:val="20"/>
                <w:highlight w:val="none"/>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rFonts w:hint="eastAsia" w:eastAsia="宋体"/>
                <w:highlight w:val="none"/>
                <w:lang w:val="en-US" w:eastAsia="zh-CN"/>
              </w:rPr>
              <w:t>7.8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nil"/>
              <w:left w:val="single" w:color="auto" w:sz="4" w:space="0"/>
              <w:bottom w:val="nil"/>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30</w:t>
            </w:r>
          </w:p>
        </w:tc>
        <w:tc>
          <w:tcPr>
            <w:tcW w:w="929" w:type="pct"/>
            <w:tcBorders>
              <w:top w:val="single" w:color="auto" w:sz="4" w:space="0"/>
              <w:left w:val="single" w:color="auto" w:sz="4" w:space="0"/>
              <w:bottom w:val="single" w:color="auto" w:sz="4" w:space="0"/>
              <w:right w:val="single" w:color="auto" w:sz="4" w:space="0"/>
            </w:tcBorders>
          </w:tcPr>
          <w:p>
            <w:pPr>
              <w:pStyle w:val="38"/>
            </w:pPr>
            <w:r>
              <w:t>10*64*T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sz w:val="20"/>
                <w:highlight w:val="none"/>
              </w:rPr>
              <w:t>4.2</w:t>
            </w:r>
            <w:r>
              <w:rPr>
                <w:rFonts w:hint="eastAsia" w:eastAsia="宋体"/>
                <w:sz w:val="20"/>
                <w:highlight w:val="none"/>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highlight w:val="none"/>
              </w:rPr>
            </w:pPr>
            <w:r>
              <w:rPr>
                <w:rFonts w:hint="eastAsia" w:eastAsia="宋体"/>
                <w:highlight w:val="none"/>
                <w:lang w:val="en-US" w:eastAsia="zh-CN"/>
              </w:rPr>
              <w:t>5.8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nil"/>
              <w:left w:val="single" w:color="auto" w:sz="4" w:space="0"/>
              <w:bottom w:val="single" w:color="auto" w:sz="4" w:space="0"/>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60</w:t>
            </w:r>
          </w:p>
        </w:tc>
        <w:tc>
          <w:tcPr>
            <w:tcW w:w="929" w:type="pct"/>
            <w:tcBorders>
              <w:top w:val="single" w:color="auto" w:sz="4" w:space="0"/>
              <w:left w:val="single" w:color="auto" w:sz="4" w:space="0"/>
              <w:bottom w:val="single" w:color="auto" w:sz="4" w:space="0"/>
              <w:right w:val="single" w:color="auto" w:sz="4" w:space="0"/>
            </w:tcBorders>
          </w:tcPr>
          <w:p>
            <w:pPr>
              <w:pStyle w:val="38"/>
            </w:pPr>
            <w:r>
              <w:t>10*64*T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sz w:val="20"/>
                <w:highlight w:val="none"/>
              </w:rPr>
              <w:t>4.2</w:t>
            </w:r>
            <w:r>
              <w:rPr>
                <w:rFonts w:hint="eastAsia" w:eastAsia="宋体"/>
                <w:sz w:val="20"/>
                <w:highlight w:val="none"/>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highlight w:val="none"/>
              </w:rPr>
            </w:pPr>
            <w:r>
              <w:rPr>
                <w:rFonts w:hint="eastAsia" w:eastAsia="宋体"/>
                <w:highlight w:val="none"/>
                <w:lang w:val="en-US" w:eastAsia="zh-CN"/>
              </w:rPr>
              <w:t>5.8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single" w:color="auto" w:sz="4" w:space="0"/>
              <w:left w:val="single" w:color="auto" w:sz="4" w:space="0"/>
              <w:bottom w:val="nil"/>
              <w:right w:val="single" w:color="auto" w:sz="4" w:space="0"/>
            </w:tcBorders>
            <w:vAlign w:val="center"/>
          </w:tcPr>
          <w:p>
            <w:pPr>
              <w:pStyle w:val="38"/>
            </w:pPr>
            <w:r>
              <w:t>30</w:t>
            </w:r>
          </w:p>
        </w:tc>
        <w:tc>
          <w:tcPr>
            <w:tcW w:w="781" w:type="pct"/>
            <w:tcBorders>
              <w:top w:val="single" w:color="auto" w:sz="4" w:space="0"/>
              <w:left w:val="single" w:color="auto" w:sz="4" w:space="0"/>
              <w:bottom w:val="single" w:color="auto" w:sz="4" w:space="0"/>
              <w:right w:val="single" w:color="auto" w:sz="4" w:space="0"/>
            </w:tcBorders>
          </w:tcPr>
          <w:p>
            <w:pPr>
              <w:pStyle w:val="38"/>
            </w:pPr>
            <w:r>
              <w:t>15</w:t>
            </w:r>
          </w:p>
        </w:tc>
        <w:tc>
          <w:tcPr>
            <w:tcW w:w="929" w:type="pct"/>
            <w:tcBorders>
              <w:top w:val="single" w:color="auto" w:sz="4" w:space="0"/>
              <w:left w:val="single" w:color="auto" w:sz="4" w:space="0"/>
              <w:bottom w:val="single" w:color="auto" w:sz="4" w:space="0"/>
              <w:right w:val="single" w:color="auto" w:sz="4" w:space="0"/>
            </w:tcBorders>
          </w:tcPr>
          <w:p>
            <w:pPr>
              <w:pStyle w:val="38"/>
            </w:pPr>
            <w:r>
              <w:t>8*64*T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sz w:val="20"/>
                <w:highlight w:val="none"/>
                <w:lang w:val="en-US" w:eastAsia="zh-CN"/>
              </w:rPr>
            </w:pPr>
            <w:r>
              <w:rPr>
                <w:sz w:val="20"/>
                <w:highlight w:val="none"/>
              </w:rPr>
              <w:t>2.1</w:t>
            </w:r>
            <w:r>
              <w:rPr>
                <w:rFonts w:hint="eastAsia" w:eastAsia="宋体"/>
                <w:sz w:val="20"/>
                <w:highlight w:val="none"/>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rFonts w:hint="eastAsia" w:eastAsia="宋体"/>
                <w:highlight w:val="none"/>
                <w:lang w:val="en-US" w:eastAsia="zh-CN"/>
              </w:rPr>
              <w:t>5.9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nil"/>
              <w:left w:val="single" w:color="auto" w:sz="4" w:space="0"/>
              <w:bottom w:val="nil"/>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30</w:t>
            </w:r>
          </w:p>
        </w:tc>
        <w:tc>
          <w:tcPr>
            <w:tcW w:w="929" w:type="pct"/>
            <w:tcBorders>
              <w:top w:val="single" w:color="auto" w:sz="4" w:space="0"/>
              <w:left w:val="single" w:color="auto" w:sz="4" w:space="0"/>
              <w:bottom w:val="single" w:color="auto" w:sz="4" w:space="0"/>
              <w:right w:val="single" w:color="auto" w:sz="4" w:space="0"/>
            </w:tcBorders>
          </w:tcPr>
          <w:p>
            <w:pPr>
              <w:pStyle w:val="38"/>
            </w:pPr>
            <w:r>
              <w:t>8*64*T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sz w:val="20"/>
                <w:highlight w:val="none"/>
                <w:lang w:val="en-US" w:eastAsia="zh-CN"/>
              </w:rPr>
            </w:pPr>
            <w:r>
              <w:rPr>
                <w:sz w:val="20"/>
                <w:highlight w:val="none"/>
              </w:rPr>
              <w:t>2.1</w:t>
            </w:r>
            <w:r>
              <w:rPr>
                <w:rFonts w:hint="eastAsia" w:eastAsia="宋体"/>
                <w:sz w:val="20"/>
                <w:highlight w:val="none"/>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rFonts w:hint="eastAsia" w:eastAsia="宋体"/>
                <w:highlight w:val="none"/>
                <w:lang w:val="en-US" w:eastAsia="zh-CN"/>
              </w:rPr>
              <w:t>5.9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single" w:color="auto" w:sz="4" w:space="0"/>
              <w:right w:val="single" w:color="auto" w:sz="4" w:space="0"/>
            </w:tcBorders>
            <w:vAlign w:val="center"/>
          </w:tcPr>
          <w:p>
            <w:pPr>
              <w:pStyle w:val="38"/>
            </w:pPr>
          </w:p>
        </w:tc>
        <w:tc>
          <w:tcPr>
            <w:tcW w:w="781" w:type="pct"/>
            <w:tcBorders>
              <w:top w:val="nil"/>
              <w:left w:val="single" w:color="auto" w:sz="4" w:space="0"/>
              <w:bottom w:val="single" w:color="auto" w:sz="4" w:space="0"/>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60</w:t>
            </w:r>
          </w:p>
        </w:tc>
        <w:tc>
          <w:tcPr>
            <w:tcW w:w="929" w:type="pct"/>
            <w:tcBorders>
              <w:top w:val="single" w:color="auto" w:sz="4" w:space="0"/>
              <w:left w:val="single" w:color="auto" w:sz="4" w:space="0"/>
              <w:bottom w:val="single" w:color="auto" w:sz="4" w:space="0"/>
              <w:right w:val="single" w:color="auto" w:sz="4" w:space="0"/>
            </w:tcBorders>
          </w:tcPr>
          <w:p>
            <w:pPr>
              <w:pStyle w:val="38"/>
            </w:pPr>
            <w:r>
              <w:t>7*64*T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sz w:val="20"/>
                <w:highlight w:val="none"/>
                <w:lang w:val="en-US" w:eastAsia="zh-CN"/>
              </w:rPr>
            </w:pPr>
            <w:r>
              <w:rPr>
                <w:sz w:val="20"/>
                <w:highlight w:val="none"/>
              </w:rPr>
              <w:t>2.1</w:t>
            </w:r>
            <w:r>
              <w:rPr>
                <w:rFonts w:hint="eastAsia" w:eastAsia="宋体"/>
                <w:sz w:val="20"/>
                <w:highlight w:val="none"/>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rFonts w:hint="eastAsia" w:eastAsia="宋体"/>
                <w:highlight w:val="none"/>
                <w:lang w:val="en-US" w:eastAsia="zh-CN"/>
              </w:rPr>
              <w:t>4.9 Ts</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Based on above analysis and margin for UE Te requirement, we propose to have the following TRS based timing estimation error in table 3.</w:t>
      </w:r>
    </w:p>
    <w:p>
      <w:pPr>
        <w:pStyle w:val="32"/>
        <w:ind w:firstLine="0" w:firstLineChars="0"/>
        <w:jc w:val="center"/>
        <w:rPr>
          <w:kern w:val="0"/>
          <w:sz w:val="20"/>
          <w:szCs w:val="20"/>
        </w:rPr>
      </w:pPr>
      <w:r>
        <w:rPr>
          <w:rFonts w:hint="eastAsia"/>
          <w:b/>
          <w:bCs/>
          <w:kern w:val="0"/>
          <w:sz w:val="20"/>
          <w:szCs w:val="20"/>
        </w:rPr>
        <w:t>Table 3. TRS based timing estimation error</w:t>
      </w:r>
    </w:p>
    <w:tbl>
      <w:tblPr>
        <w:tblStyle w:val="19"/>
        <w:tblW w:w="42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1480"/>
        <w:gridCol w:w="1623"/>
        <w:gridCol w:w="2069"/>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vAlign w:val="center"/>
          </w:tcPr>
          <w:p>
            <w:pPr>
              <w:pStyle w:val="37"/>
            </w:pPr>
            <w:r>
              <w:t>Frequency Range</w:t>
            </w:r>
          </w:p>
        </w:tc>
        <w:tc>
          <w:tcPr>
            <w:tcW w:w="923" w:type="pct"/>
            <w:tcBorders>
              <w:top w:val="single" w:color="auto" w:sz="4" w:space="0"/>
              <w:left w:val="single" w:color="auto" w:sz="4" w:space="0"/>
              <w:bottom w:val="single" w:color="auto" w:sz="4" w:space="0"/>
              <w:right w:val="single" w:color="auto" w:sz="4" w:space="0"/>
            </w:tcBorders>
            <w:vAlign w:val="center"/>
          </w:tcPr>
          <w:p>
            <w:pPr>
              <w:pStyle w:val="37"/>
            </w:pPr>
            <w:r>
              <w:t xml:space="preserve">SCS of </w:t>
            </w:r>
            <w:r>
              <w:rPr>
                <w:rFonts w:hint="eastAsia" w:eastAsia="宋体"/>
                <w:lang w:val="en-US" w:eastAsia="zh-CN"/>
              </w:rPr>
              <w:t xml:space="preserve">TRS </w:t>
            </w:r>
            <w:r>
              <w:t>signals (kHz)</w:t>
            </w:r>
          </w:p>
        </w:tc>
        <w:tc>
          <w:tcPr>
            <w:tcW w:w="1012" w:type="pct"/>
            <w:tcBorders>
              <w:top w:val="single" w:color="auto" w:sz="4" w:space="0"/>
              <w:left w:val="single" w:color="auto" w:sz="4" w:space="0"/>
              <w:bottom w:val="single" w:color="auto" w:sz="4" w:space="0"/>
              <w:right w:val="single" w:color="auto" w:sz="4" w:space="0"/>
            </w:tcBorders>
            <w:vAlign w:val="center"/>
          </w:tcPr>
          <w:p>
            <w:pPr>
              <w:pStyle w:val="37"/>
            </w:pPr>
            <w:r>
              <w:t>T</w:t>
            </w:r>
            <w:r>
              <w:rPr>
                <w:vertAlign w:val="subscript"/>
              </w:rPr>
              <w:t>e</w:t>
            </w:r>
          </w:p>
        </w:tc>
        <w:tc>
          <w:tcPr>
            <w:tcW w:w="1290" w:type="pct"/>
            <w:tcBorders>
              <w:top w:val="single" w:color="auto" w:sz="4" w:space="0"/>
              <w:left w:val="single" w:color="auto" w:sz="4" w:space="0"/>
              <w:bottom w:val="single" w:color="auto" w:sz="4" w:space="0"/>
              <w:right w:val="single" w:color="auto" w:sz="4" w:space="0"/>
            </w:tcBorders>
            <w:vAlign w:val="center"/>
          </w:tcPr>
          <w:p>
            <w:pPr>
              <w:pStyle w:val="37"/>
              <w:rPr>
                <w:rFonts w:hint="default" w:eastAsia="宋体"/>
                <w:lang w:val="en-US" w:eastAsia="zh-CN"/>
              </w:rPr>
            </w:pPr>
            <w:r>
              <w:rPr>
                <w:rFonts w:hint="eastAsia" w:eastAsia="宋体"/>
                <w:lang w:val="en-US" w:eastAsia="zh-CN"/>
              </w:rPr>
              <w:t>Te without margin</w:t>
            </w:r>
            <w:r>
              <w:rPr>
                <w:rFonts w:hint="eastAsia"/>
                <w:color w:val="000000"/>
                <w:sz w:val="20"/>
                <w:szCs w:val="20"/>
                <w:vertAlign w:val="superscript"/>
                <w:lang w:val="en-US" w:eastAsia="zh-CN"/>
              </w:rPr>
              <w:t>1,2</w:t>
            </w:r>
          </w:p>
        </w:tc>
        <w:tc>
          <w:tcPr>
            <w:tcW w:w="1005" w:type="pct"/>
            <w:tcBorders>
              <w:top w:val="single" w:color="auto" w:sz="4" w:space="0"/>
              <w:left w:val="single" w:color="auto" w:sz="4" w:space="0"/>
              <w:bottom w:val="single" w:color="auto" w:sz="4" w:space="0"/>
              <w:right w:val="single" w:color="auto" w:sz="4" w:space="0"/>
            </w:tcBorders>
            <w:vAlign w:val="center"/>
          </w:tcPr>
          <w:p>
            <w:pPr>
              <w:pStyle w:val="37"/>
              <w:rPr>
                <w:rFonts w:eastAsia="宋体"/>
                <w:lang w:val="en-US" w:eastAsia="zh-CN"/>
              </w:rPr>
            </w:pPr>
            <w:r>
              <w:rPr>
                <w:rFonts w:hint="eastAsia" w:eastAsia="宋体"/>
                <w:lang w:val="en-US" w:eastAsia="zh-CN"/>
              </w:rPr>
              <w:t>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vMerge w:val="restart"/>
            <w:tcBorders>
              <w:top w:val="single" w:color="auto" w:sz="4" w:space="0"/>
              <w:left w:val="single" w:color="auto" w:sz="4" w:space="0"/>
              <w:right w:val="single" w:color="auto" w:sz="4" w:space="0"/>
            </w:tcBorders>
            <w:vAlign w:val="center"/>
          </w:tcPr>
          <w:p>
            <w:pPr>
              <w:pStyle w:val="38"/>
            </w:pPr>
            <w:r>
              <w:t>1</w:t>
            </w:r>
          </w:p>
        </w:tc>
        <w:tc>
          <w:tcPr>
            <w:tcW w:w="923" w:type="pct"/>
            <w:tcBorders>
              <w:top w:val="single" w:color="auto" w:sz="4" w:space="0"/>
              <w:left w:val="single" w:color="auto" w:sz="4" w:space="0"/>
              <w:bottom w:val="single" w:color="auto" w:sz="4" w:space="0"/>
              <w:right w:val="single" w:color="auto" w:sz="4" w:space="0"/>
            </w:tcBorders>
            <w:vAlign w:val="center"/>
          </w:tcPr>
          <w:p>
            <w:pPr>
              <w:pStyle w:val="38"/>
            </w:pPr>
            <w:r>
              <w:t>15</w:t>
            </w:r>
          </w:p>
        </w:tc>
        <w:tc>
          <w:tcPr>
            <w:tcW w:w="1012" w:type="pct"/>
            <w:tcBorders>
              <w:top w:val="single" w:color="auto" w:sz="4" w:space="0"/>
              <w:left w:val="single" w:color="auto" w:sz="4" w:space="0"/>
              <w:bottom w:val="single" w:color="auto" w:sz="4" w:space="0"/>
              <w:right w:val="single" w:color="auto" w:sz="4" w:space="0"/>
            </w:tcBorders>
          </w:tcPr>
          <w:p>
            <w:pPr>
              <w:pStyle w:val="38"/>
            </w:pPr>
            <w:r>
              <w:rPr>
                <w:rFonts w:hint="eastAsia" w:eastAsia="宋体"/>
                <w:lang w:val="en-US" w:eastAsia="zh-CN"/>
              </w:rPr>
              <w:t>10</w:t>
            </w:r>
            <w:r>
              <w:t>*64*T</w:t>
            </w:r>
            <w:r>
              <w:rPr>
                <w:vertAlign w:val="subscript"/>
              </w:rPr>
              <w:t>c</w:t>
            </w:r>
          </w:p>
        </w:tc>
        <w:tc>
          <w:tcPr>
            <w:tcW w:w="1290" w:type="pct"/>
            <w:tcBorders>
              <w:top w:val="single" w:color="auto" w:sz="4" w:space="0"/>
              <w:left w:val="single" w:color="auto" w:sz="4" w:space="0"/>
              <w:bottom w:val="single" w:color="auto" w:sz="4" w:space="0"/>
              <w:right w:val="single" w:color="auto" w:sz="4" w:space="0"/>
            </w:tcBorders>
          </w:tcPr>
          <w:p>
            <w:pPr>
              <w:pStyle w:val="38"/>
              <w:rPr>
                <w:rFonts w:eastAsia="宋体"/>
                <w:highlight w:val="none"/>
                <w:lang w:val="en-US" w:eastAsia="zh-CN"/>
              </w:rPr>
            </w:pPr>
            <w:r>
              <w:rPr>
                <w:rFonts w:hint="eastAsia" w:eastAsia="宋体"/>
                <w:sz w:val="20"/>
                <w:highlight w:val="none"/>
                <w:lang w:val="en-US" w:eastAsia="zh-CN"/>
              </w:rPr>
              <w:t>1</w:t>
            </w:r>
            <w:r>
              <w:rPr>
                <w:sz w:val="20"/>
                <w:highlight w:val="none"/>
              </w:rPr>
              <w:t>.</w:t>
            </w:r>
            <w:r>
              <w:rPr>
                <w:rFonts w:hint="eastAsia" w:eastAsia="宋体"/>
                <w:sz w:val="20"/>
                <w:highlight w:val="none"/>
                <w:lang w:val="en-US" w:eastAsia="zh-CN"/>
              </w:rPr>
              <w:t>6 Ts</w:t>
            </w:r>
          </w:p>
        </w:tc>
        <w:tc>
          <w:tcPr>
            <w:tcW w:w="1005" w:type="pct"/>
            <w:tcBorders>
              <w:top w:val="single" w:color="auto" w:sz="4" w:space="0"/>
              <w:left w:val="single" w:color="auto" w:sz="4" w:space="0"/>
              <w:bottom w:val="single" w:color="auto" w:sz="4" w:space="0"/>
              <w:right w:val="single" w:color="auto" w:sz="4" w:space="0"/>
            </w:tcBorders>
          </w:tcPr>
          <w:p>
            <w:pPr>
              <w:pStyle w:val="38"/>
              <w:rPr>
                <w:rFonts w:eastAsia="宋体"/>
                <w:lang w:val="en-US" w:eastAsia="zh-CN"/>
              </w:rPr>
            </w:pPr>
            <w:r>
              <w:rPr>
                <w:rFonts w:hint="eastAsia" w:eastAsia="宋体"/>
                <w:lang w:val="en-US" w:eastAsia="zh-CN"/>
              </w:rPr>
              <w:t>7.8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vMerge w:val="continue"/>
            <w:tcBorders>
              <w:left w:val="single" w:color="auto" w:sz="4" w:space="0"/>
              <w:right w:val="single" w:color="auto" w:sz="4" w:space="0"/>
            </w:tcBorders>
            <w:vAlign w:val="center"/>
          </w:tcPr>
          <w:p>
            <w:pPr>
              <w:pStyle w:val="38"/>
            </w:pPr>
          </w:p>
        </w:tc>
        <w:tc>
          <w:tcPr>
            <w:tcW w:w="923" w:type="pct"/>
            <w:tcBorders>
              <w:top w:val="single" w:color="auto" w:sz="4" w:space="0"/>
              <w:left w:val="single" w:color="auto" w:sz="4" w:space="0"/>
              <w:bottom w:val="single" w:color="auto" w:sz="4" w:space="0"/>
              <w:right w:val="single" w:color="auto" w:sz="4" w:space="0"/>
            </w:tcBorders>
            <w:vAlign w:val="center"/>
          </w:tcPr>
          <w:p>
            <w:pPr>
              <w:pStyle w:val="38"/>
            </w:pPr>
            <w:r>
              <w:t>30</w:t>
            </w:r>
          </w:p>
        </w:tc>
        <w:tc>
          <w:tcPr>
            <w:tcW w:w="1012" w:type="pct"/>
            <w:tcBorders>
              <w:top w:val="single" w:color="auto" w:sz="4" w:space="0"/>
              <w:left w:val="single" w:color="auto" w:sz="4" w:space="0"/>
              <w:bottom w:val="single" w:color="auto" w:sz="4" w:space="0"/>
              <w:right w:val="single" w:color="auto" w:sz="4" w:space="0"/>
            </w:tcBorders>
          </w:tcPr>
          <w:p>
            <w:pPr>
              <w:pStyle w:val="38"/>
            </w:pPr>
            <w:r>
              <w:rPr>
                <w:rFonts w:hint="eastAsia" w:eastAsia="宋体"/>
                <w:lang w:val="en-US" w:eastAsia="zh-CN"/>
              </w:rPr>
              <w:t>7</w:t>
            </w:r>
            <w:r>
              <w:t>*64*T</w:t>
            </w:r>
            <w:r>
              <w:rPr>
                <w:vertAlign w:val="subscript"/>
              </w:rPr>
              <w:t>c</w:t>
            </w:r>
          </w:p>
        </w:tc>
        <w:tc>
          <w:tcPr>
            <w:tcW w:w="1290" w:type="pct"/>
            <w:tcBorders>
              <w:top w:val="single" w:color="auto" w:sz="4" w:space="0"/>
              <w:left w:val="single" w:color="auto" w:sz="4" w:space="0"/>
              <w:bottom w:val="single" w:color="auto" w:sz="4" w:space="0"/>
              <w:right w:val="single" w:color="auto" w:sz="4" w:space="0"/>
            </w:tcBorders>
          </w:tcPr>
          <w:p>
            <w:pPr>
              <w:pStyle w:val="38"/>
              <w:rPr>
                <w:rFonts w:eastAsia="宋体"/>
                <w:sz w:val="20"/>
                <w:highlight w:val="none"/>
                <w:lang w:val="en-US" w:eastAsia="zh-CN"/>
              </w:rPr>
            </w:pPr>
            <w:r>
              <w:rPr>
                <w:rFonts w:hint="eastAsia" w:eastAsia="宋体"/>
                <w:sz w:val="20"/>
                <w:highlight w:val="none"/>
                <w:lang w:val="en-US" w:eastAsia="zh-CN"/>
              </w:rPr>
              <w:t>0</w:t>
            </w:r>
            <w:r>
              <w:rPr>
                <w:sz w:val="20"/>
                <w:highlight w:val="none"/>
              </w:rPr>
              <w:t>.</w:t>
            </w:r>
            <w:r>
              <w:rPr>
                <w:rFonts w:hint="eastAsia" w:eastAsia="宋体"/>
                <w:sz w:val="20"/>
                <w:highlight w:val="none"/>
                <w:lang w:val="en-US" w:eastAsia="zh-CN"/>
              </w:rPr>
              <w:t>8 Ts</w:t>
            </w:r>
          </w:p>
        </w:tc>
        <w:tc>
          <w:tcPr>
            <w:tcW w:w="1005" w:type="pct"/>
            <w:tcBorders>
              <w:top w:val="single" w:color="auto" w:sz="4" w:space="0"/>
              <w:left w:val="single" w:color="auto" w:sz="4" w:space="0"/>
              <w:bottom w:val="single" w:color="auto" w:sz="4" w:space="0"/>
              <w:right w:val="single" w:color="auto" w:sz="4" w:space="0"/>
            </w:tcBorders>
          </w:tcPr>
          <w:p>
            <w:pPr>
              <w:pStyle w:val="38"/>
              <w:rPr>
                <w:rFonts w:eastAsia="宋体"/>
                <w:lang w:val="en-US" w:eastAsia="zh-CN"/>
              </w:rPr>
            </w:pPr>
            <w:r>
              <w:rPr>
                <w:rFonts w:hint="eastAsia" w:eastAsia="宋体"/>
                <w:lang w:val="en-US" w:eastAsia="zh-CN"/>
              </w:rPr>
              <w:t>5.9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left w:val="single" w:color="auto" w:sz="4" w:space="0"/>
              <w:right w:val="single" w:color="auto" w:sz="4" w:space="0"/>
            </w:tcBorders>
            <w:vAlign w:val="center"/>
          </w:tcPr>
          <w:p>
            <w:pPr>
              <w:pStyle w:val="38"/>
              <w:jc w:val="left"/>
              <w:rPr>
                <w:rFonts w:hint="default" w:ascii="Times New Roman" w:hAnsi="Times New Roman" w:eastAsia="宋体"/>
                <w:kern w:val="2"/>
                <w:sz w:val="15"/>
                <w:szCs w:val="15"/>
                <w:lang w:val="en-US" w:eastAsia="zh-CN"/>
              </w:rPr>
            </w:pPr>
            <w:r>
              <w:rPr>
                <w:rFonts w:hint="eastAsia" w:ascii="Times New Roman" w:hAnsi="Times New Roman" w:eastAsia="宋体"/>
                <w:kern w:val="2"/>
                <w:sz w:val="15"/>
                <w:szCs w:val="15"/>
                <w:lang w:val="en-US" w:eastAsia="zh-CN"/>
              </w:rPr>
              <w:t>NOTE 1:  Te without margin = 0.5* 30.72*10^6/(52*SCS*12) = 1.6 Ts for 15kHz, 0.8Ts for 30kHz.</w:t>
            </w:r>
          </w:p>
          <w:p>
            <w:pPr>
              <w:pStyle w:val="38"/>
              <w:jc w:val="left"/>
              <w:rPr>
                <w:lang w:val="en-US" w:eastAsia="zh-CN"/>
              </w:rPr>
            </w:pPr>
            <w:r>
              <w:rPr>
                <w:rFonts w:hint="eastAsia" w:ascii="Times New Roman" w:hAnsi="Times New Roman" w:eastAsia="宋体"/>
                <w:kern w:val="2"/>
                <w:sz w:val="15"/>
                <w:szCs w:val="15"/>
                <w:lang w:val="en-US" w:eastAsia="zh-CN"/>
              </w:rPr>
              <w:t xml:space="preserve">NOTE 2:  Bandwidth configuration for TRS on SCell without SSB is assumed as min (52, BWP). Here, 52 PRBs are assumed for minimum requirement estimation. </w:t>
            </w:r>
          </w:p>
        </w:tc>
      </w:tr>
    </w:tbl>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1: Propose to use the following RTD requirement for inter-band CA without SSB as default assumption;</w:t>
      </w:r>
    </w:p>
    <w:p>
      <w:pPr>
        <w:pStyle w:val="32"/>
        <w:ind w:firstLine="0" w:firstLineChars="0"/>
        <w:jc w:val="center"/>
        <w:rPr>
          <w:b/>
          <w:bCs/>
          <w:kern w:val="0"/>
          <w:sz w:val="20"/>
          <w:szCs w:val="20"/>
        </w:rPr>
      </w:pPr>
      <w:r>
        <w:rPr>
          <w:rFonts w:hint="eastAsia"/>
          <w:b/>
          <w:bCs/>
          <w:kern w:val="0"/>
          <w:sz w:val="20"/>
          <w:szCs w:val="20"/>
        </w:rPr>
        <w:t xml:space="preserve">Table 1. timing budget for the </w:t>
      </w:r>
      <w:r>
        <w:rPr>
          <w:rFonts w:hint="eastAsia"/>
          <w:b/>
          <w:bCs/>
          <w:kern w:val="0"/>
          <w:sz w:val="20"/>
          <w:szCs w:val="20"/>
          <w:lang w:val="en-US" w:eastAsia="zh-CN"/>
        </w:rPr>
        <w:t xml:space="preserve">allowable </w:t>
      </w:r>
      <w:r>
        <w:rPr>
          <w:rFonts w:hint="eastAsia"/>
          <w:b/>
          <w:bCs/>
          <w:kern w:val="0"/>
          <w:sz w:val="20"/>
          <w:szCs w:val="20"/>
        </w:rPr>
        <w:t>RTD for inter-band CA with S</w:t>
      </w:r>
      <w:r>
        <w:rPr>
          <w:rFonts w:hint="eastAsia"/>
          <w:b/>
          <w:bCs/>
          <w:kern w:val="0"/>
          <w:sz w:val="20"/>
          <w:szCs w:val="20"/>
          <w:lang w:val="en-US" w:eastAsia="zh-CN"/>
        </w:rPr>
        <w:t>C</w:t>
      </w:r>
      <w:r>
        <w:rPr>
          <w:rFonts w:hint="eastAsia"/>
          <w:b/>
          <w:bCs/>
          <w:kern w:val="0"/>
          <w:sz w:val="20"/>
          <w:szCs w:val="20"/>
        </w:rPr>
        <w:t>ell without SSB</w:t>
      </w:r>
    </w:p>
    <w:tbl>
      <w:tblPr>
        <w:tblStyle w:val="19"/>
        <w:tblW w:w="7830" w:type="dxa"/>
        <w:jc w:val="center"/>
        <w:tblLayout w:type="fixed"/>
        <w:tblCellMar>
          <w:top w:w="0" w:type="dxa"/>
          <w:left w:w="108" w:type="dxa"/>
          <w:bottom w:w="0" w:type="dxa"/>
          <w:right w:w="108" w:type="dxa"/>
        </w:tblCellMar>
      </w:tblPr>
      <w:tblGrid>
        <w:gridCol w:w="824"/>
        <w:gridCol w:w="744"/>
        <w:gridCol w:w="826"/>
        <w:gridCol w:w="826"/>
        <w:gridCol w:w="1004"/>
        <w:gridCol w:w="1004"/>
        <w:gridCol w:w="1004"/>
        <w:gridCol w:w="1598"/>
      </w:tblGrid>
      <w:tr>
        <w:tblPrEx>
          <w:tblCellMar>
            <w:top w:w="0" w:type="dxa"/>
            <w:left w:w="108" w:type="dxa"/>
            <w:bottom w:w="0" w:type="dxa"/>
            <w:right w:w="108" w:type="dxa"/>
          </w:tblCellMar>
        </w:tblPrEx>
        <w:trPr>
          <w:trHeight w:val="90"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r>
              <w:rPr>
                <w:color w:val="000000"/>
                <w:sz w:val="20"/>
                <w:szCs w:val="20"/>
              </w:rPr>
              <w:t>SSB SCS</w:t>
            </w:r>
            <w:r>
              <w:rPr>
                <w:color w:val="000000"/>
                <w:sz w:val="20"/>
                <w:szCs w:val="20"/>
                <w:vertAlign w:val="superscript"/>
              </w:rPr>
              <w:t>1</w:t>
            </w:r>
            <w:r>
              <w:rPr>
                <w:color w:val="000000"/>
                <w:sz w:val="20"/>
                <w:szCs w:val="20"/>
              </w:rPr>
              <w:br w:type="textWrapping"/>
            </w:r>
            <w:r>
              <w:rPr>
                <w:color w:val="000000"/>
                <w:sz w:val="20"/>
                <w:szCs w:val="20"/>
              </w:rPr>
              <w:t>(kHz)</w:t>
            </w:r>
          </w:p>
        </w:tc>
        <w:tc>
          <w:tcPr>
            <w:tcW w:w="744"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20"/>
                <w:szCs w:val="20"/>
              </w:rPr>
            </w:pPr>
            <w:r>
              <w:rPr>
                <w:color w:val="000000"/>
                <w:sz w:val="20"/>
                <w:szCs w:val="20"/>
              </w:rPr>
              <w:t>D</w:t>
            </w:r>
            <w:r>
              <w:rPr>
                <w:rFonts w:hint="eastAsia"/>
                <w:color w:val="000000"/>
                <w:sz w:val="20"/>
                <w:szCs w:val="20"/>
              </w:rPr>
              <w:t>ata</w:t>
            </w:r>
            <w:r>
              <w:rPr>
                <w:color w:val="000000"/>
                <w:sz w:val="20"/>
                <w:szCs w:val="20"/>
              </w:rPr>
              <w:t xml:space="preserve"> SCS</w:t>
            </w:r>
            <w:r>
              <w:rPr>
                <w:color w:val="000000"/>
                <w:sz w:val="20"/>
                <w:szCs w:val="20"/>
                <w:vertAlign w:val="superscript"/>
              </w:rPr>
              <w:t>2</w:t>
            </w:r>
            <w:r>
              <w:rPr>
                <w:color w:val="000000"/>
                <w:sz w:val="20"/>
                <w:szCs w:val="20"/>
              </w:rPr>
              <w:t xml:space="preserve"> </w:t>
            </w:r>
            <w:r>
              <w:rPr>
                <w:color w:val="000000"/>
                <w:sz w:val="20"/>
                <w:szCs w:val="20"/>
              </w:rPr>
              <w:br w:type="textWrapping"/>
            </w:r>
            <w:r>
              <w:rPr>
                <w:color w:val="000000"/>
                <w:sz w:val="20"/>
                <w:szCs w:val="20"/>
              </w:rPr>
              <w:t>(kHz)</w:t>
            </w:r>
          </w:p>
        </w:tc>
        <w:tc>
          <w:tcPr>
            <w:tcW w:w="826" w:type="dxa"/>
            <w:tcBorders>
              <w:top w:val="single" w:color="auto" w:sz="4" w:space="0"/>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CP</w:t>
            </w:r>
          </w:p>
        </w:tc>
        <w:tc>
          <w:tcPr>
            <w:tcW w:w="826"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 xml:space="preserve">Timing error 1 </w:t>
            </w:r>
            <w:r>
              <w:rPr>
                <w:color w:val="000000"/>
                <w:sz w:val="20"/>
                <w:szCs w:val="20"/>
                <w:vertAlign w:val="superscript"/>
              </w:rPr>
              <w:t>3</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 xml:space="preserve">RTE </w:t>
            </w:r>
            <w:r>
              <w:rPr>
                <w:color w:val="000000"/>
                <w:sz w:val="20"/>
                <w:szCs w:val="20"/>
                <w:vertAlign w:val="superscript"/>
              </w:rPr>
              <w:t>4</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Timing error</w:t>
            </w:r>
            <w:r>
              <w:rPr>
                <w:rFonts w:hint="eastAsia"/>
                <w:color w:val="000000"/>
                <w:sz w:val="20"/>
                <w:szCs w:val="20"/>
              </w:rPr>
              <w:t xml:space="preserve"> 2</w:t>
            </w:r>
            <w:r>
              <w:rPr>
                <w:color w:val="000000"/>
                <w:sz w:val="20"/>
                <w:szCs w:val="20"/>
              </w:rPr>
              <w:t xml:space="preserve"> </w:t>
            </w:r>
            <w:r>
              <w:rPr>
                <w:color w:val="000000"/>
                <w:sz w:val="20"/>
                <w:szCs w:val="20"/>
                <w:vertAlign w:val="superscript"/>
              </w:rPr>
              <w:t>5</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Margin for EVM window</w:t>
            </w:r>
            <w:r>
              <w:rPr>
                <w:rFonts w:hint="eastAsia"/>
                <w:color w:val="000000"/>
                <w:sz w:val="20"/>
                <w:szCs w:val="20"/>
              </w:rPr>
              <w:t xml:space="preserve"> </w:t>
            </w:r>
            <w:r>
              <w:rPr>
                <w:rFonts w:hint="eastAsia"/>
                <w:color w:val="000000"/>
                <w:sz w:val="20"/>
                <w:szCs w:val="20"/>
                <w:vertAlign w:val="superscript"/>
              </w:rPr>
              <w:t>6</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Required RTD</w:t>
            </w:r>
          </w:p>
          <w:p>
            <w:pPr>
              <w:jc w:val="center"/>
              <w:rPr>
                <w:color w:val="FF0000"/>
                <w:sz w:val="20"/>
                <w:szCs w:val="20"/>
                <w:highlight w:val="yellow"/>
              </w:rPr>
            </w:pPr>
            <w:r>
              <w:rPr>
                <w:rFonts w:hint="eastAsia"/>
                <w:color w:val="FF0000"/>
                <w:sz w:val="20"/>
                <w:szCs w:val="20"/>
              </w:rPr>
              <w:t>(ns)</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4.7µs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390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940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2915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sz w:val="20"/>
                <w:szCs w:val="20"/>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460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1157</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4.7µs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940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3045</w:t>
            </w:r>
            <w:r>
              <w:rPr>
                <w:rFonts w:hint="eastAsia"/>
                <w:color w:val="FF0000"/>
                <w:kern w:val="0"/>
                <w:sz w:val="20"/>
                <w:szCs w:val="20"/>
                <w:lang w:bidi="ar"/>
              </w:rPr>
              <w:t>-&gt;3000</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sz w:val="20"/>
                <w:szCs w:val="20"/>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460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1222</w:t>
            </w:r>
          </w:p>
        </w:tc>
      </w:tr>
      <w:tr>
        <w:tblPrEx>
          <w:tblCellMar>
            <w:top w:w="0" w:type="dxa"/>
            <w:left w:w="108" w:type="dxa"/>
            <w:bottom w:w="0" w:type="dxa"/>
            <w:right w:w="108" w:type="dxa"/>
          </w:tblCellMar>
        </w:tblPrEx>
        <w:trPr>
          <w:trHeight w:val="300" w:hRule="atLeast"/>
          <w:jc w:val="center"/>
        </w:trPr>
        <w:tc>
          <w:tcPr>
            <w:tcW w:w="7830"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60" w:lineRule="auto"/>
              <w:jc w:val="left"/>
              <w:rPr>
                <w:sz w:val="15"/>
                <w:szCs w:val="15"/>
              </w:rPr>
            </w:pPr>
            <w:r>
              <w:rPr>
                <w:rFonts w:hint="eastAsia"/>
                <w:sz w:val="15"/>
                <w:szCs w:val="15"/>
              </w:rPr>
              <w:t xml:space="preserve">NOTE 1: SSB refer to </w:t>
            </w:r>
            <w:r>
              <w:rPr>
                <w:rFonts w:hint="eastAsia" w:eastAsia="宋体"/>
                <w:sz w:val="15"/>
                <w:szCs w:val="15"/>
                <w:lang w:val="en-US" w:eastAsia="zh-CN"/>
              </w:rPr>
              <w:t xml:space="preserve">reference cell </w:t>
            </w:r>
            <w:r>
              <w:rPr>
                <w:rFonts w:hint="eastAsia"/>
                <w:sz w:val="15"/>
                <w:szCs w:val="15"/>
              </w:rPr>
              <w:t>with SSB;</w:t>
            </w:r>
          </w:p>
          <w:p>
            <w:pPr>
              <w:spacing w:after="0" w:line="260" w:lineRule="auto"/>
              <w:jc w:val="left"/>
              <w:rPr>
                <w:sz w:val="15"/>
                <w:szCs w:val="15"/>
              </w:rPr>
            </w:pPr>
            <w:r>
              <w:rPr>
                <w:rFonts w:hint="eastAsia"/>
                <w:sz w:val="15"/>
                <w:szCs w:val="15"/>
              </w:rPr>
              <w:t>NOTE 2: SCS refer to the DL SCS of S</w:t>
            </w:r>
            <w:r>
              <w:rPr>
                <w:rFonts w:hint="eastAsia" w:eastAsia="宋体"/>
                <w:sz w:val="15"/>
                <w:szCs w:val="15"/>
                <w:lang w:val="en-US" w:eastAsia="zh-CN"/>
              </w:rPr>
              <w:t>C</w:t>
            </w:r>
            <w:r>
              <w:rPr>
                <w:rFonts w:hint="eastAsia"/>
                <w:sz w:val="15"/>
                <w:szCs w:val="15"/>
              </w:rPr>
              <w:t>ell without SSB;</w:t>
            </w:r>
          </w:p>
          <w:p>
            <w:pPr>
              <w:spacing w:after="0" w:line="260" w:lineRule="auto"/>
              <w:jc w:val="left"/>
              <w:rPr>
                <w:sz w:val="15"/>
                <w:szCs w:val="15"/>
              </w:rPr>
            </w:pPr>
            <w:r>
              <w:rPr>
                <w:rFonts w:hint="eastAsia"/>
                <w:sz w:val="15"/>
                <w:szCs w:val="15"/>
              </w:rPr>
              <w:t xml:space="preserve">NOTE 3: SSB based timing estimation error from </w:t>
            </w:r>
            <w:r>
              <w:rPr>
                <w:rFonts w:hint="eastAsia" w:eastAsia="宋体"/>
                <w:sz w:val="15"/>
                <w:szCs w:val="15"/>
                <w:lang w:val="en-US" w:eastAsia="zh-CN"/>
              </w:rPr>
              <w:t>reference cell</w:t>
            </w:r>
            <w:r>
              <w:rPr>
                <w:rFonts w:hint="eastAsia"/>
                <w:sz w:val="15"/>
                <w:szCs w:val="15"/>
              </w:rPr>
              <w:t xml:space="preserve"> with SSB, we reuse the Te requirement as SSB based timing estimation error since Te is mainly decided by DL SSB timing estimation error, Margins and acceptable uplink performance degradation@70% throughput; </w:t>
            </w:r>
          </w:p>
          <w:p>
            <w:pPr>
              <w:spacing w:after="0" w:line="260" w:lineRule="auto"/>
              <w:jc w:val="left"/>
              <w:rPr>
                <w:sz w:val="15"/>
                <w:szCs w:val="15"/>
              </w:rPr>
            </w:pPr>
            <w:r>
              <w:rPr>
                <w:rFonts w:hint="eastAsia"/>
                <w:sz w:val="15"/>
                <w:szCs w:val="15"/>
              </w:rPr>
              <w:t>NOTE 4: RTE refer to the Relative Timing Difference among different Rx chains for different bands, we reuse the TAE error from UL MIMO in 6.4D.3 of TS 38.101-1 as starting point and open for further discussion;</w:t>
            </w:r>
          </w:p>
          <w:p>
            <w:pPr>
              <w:spacing w:after="0" w:line="260" w:lineRule="auto"/>
              <w:jc w:val="left"/>
              <w:rPr>
                <w:sz w:val="15"/>
                <w:szCs w:val="15"/>
              </w:rPr>
            </w:pPr>
            <w:r>
              <w:rPr>
                <w:rFonts w:hint="eastAsia"/>
                <w:sz w:val="15"/>
                <w:szCs w:val="15"/>
              </w:rPr>
              <w:t>NOTE 5: TRS based timing estimation error from SSB-less S</w:t>
            </w:r>
            <w:r>
              <w:rPr>
                <w:rFonts w:hint="eastAsia" w:eastAsia="宋体"/>
                <w:sz w:val="15"/>
                <w:szCs w:val="15"/>
                <w:lang w:val="en-US" w:eastAsia="zh-CN"/>
              </w:rPr>
              <w:t>C</w:t>
            </w:r>
            <w:r>
              <w:rPr>
                <w:rFonts w:hint="eastAsia"/>
                <w:sz w:val="15"/>
                <w:szCs w:val="15"/>
              </w:rPr>
              <w:t>ell, please find the TRS based timing estimation error in the following section;</w:t>
            </w:r>
          </w:p>
          <w:p>
            <w:pPr>
              <w:spacing w:after="0" w:line="260" w:lineRule="auto"/>
              <w:jc w:val="left"/>
              <w:rPr>
                <w:sz w:val="15"/>
                <w:szCs w:val="15"/>
              </w:rPr>
            </w:pPr>
            <w:r>
              <w:rPr>
                <w:rFonts w:hint="eastAsia"/>
                <w:sz w:val="15"/>
                <w:szCs w:val="15"/>
              </w:rPr>
              <w:t>NOTE 6: In order to do TRS base</w:t>
            </w:r>
            <w:r>
              <w:rPr>
                <w:rFonts w:hint="eastAsia" w:eastAsia="宋体"/>
                <w:sz w:val="15"/>
                <w:szCs w:val="15"/>
                <w:lang w:val="en-US" w:eastAsia="zh-CN"/>
              </w:rPr>
              <w:t>d</w:t>
            </w:r>
            <w:r>
              <w:rPr>
                <w:rFonts w:hint="eastAsia"/>
                <w:sz w:val="15"/>
                <w:szCs w:val="15"/>
              </w:rPr>
              <w:t xml:space="preserve"> fine tim</w:t>
            </w:r>
            <w:r>
              <w:rPr>
                <w:rFonts w:hint="eastAsia" w:eastAsia="宋体"/>
                <w:sz w:val="15"/>
                <w:szCs w:val="15"/>
                <w:lang w:val="en-US" w:eastAsia="zh-CN"/>
              </w:rPr>
              <w:t>e</w:t>
            </w:r>
            <w:r>
              <w:rPr>
                <w:rFonts w:hint="eastAsia"/>
                <w:sz w:val="15"/>
                <w:szCs w:val="15"/>
              </w:rPr>
              <w:t xml:space="preserve"> tracking outside of EVM window of S</w:t>
            </w:r>
            <w:r>
              <w:rPr>
                <w:rFonts w:hint="eastAsia" w:eastAsia="宋体"/>
                <w:sz w:val="15"/>
                <w:szCs w:val="15"/>
                <w:lang w:val="en-US" w:eastAsia="zh-CN"/>
              </w:rPr>
              <w:t>C</w:t>
            </w:r>
            <w:r>
              <w:rPr>
                <w:rFonts w:hint="eastAsia"/>
                <w:sz w:val="15"/>
                <w:szCs w:val="15"/>
              </w:rPr>
              <w:t>ell without SSB, margin for EVM window size should be equal to (CP-EVM window)/2=(20-30)*CP which depends on the BW and SCS configuration.</w:t>
            </w:r>
          </w:p>
          <w:p>
            <w:pPr>
              <w:spacing w:after="0" w:line="260" w:lineRule="auto"/>
              <w:jc w:val="left"/>
              <w:rPr>
                <w:sz w:val="15"/>
                <w:szCs w:val="15"/>
              </w:rPr>
            </w:pPr>
            <w:r>
              <w:rPr>
                <w:rFonts w:hint="eastAsia"/>
                <w:sz w:val="15"/>
                <w:szCs w:val="15"/>
              </w:rPr>
              <w:t xml:space="preserve">NOTE 7: The </w:t>
            </w:r>
            <w:r>
              <w:rPr>
                <w:rFonts w:hint="eastAsia" w:eastAsia="宋体"/>
                <w:sz w:val="15"/>
                <w:szCs w:val="15"/>
                <w:lang w:val="en-US" w:eastAsia="zh-CN"/>
              </w:rPr>
              <w:t xml:space="preserve">allowable </w:t>
            </w:r>
            <w:r>
              <w:rPr>
                <w:rFonts w:hint="eastAsia"/>
                <w:sz w:val="15"/>
                <w:szCs w:val="15"/>
              </w:rPr>
              <w:t xml:space="preserve">RTD is equal to </w:t>
            </w:r>
            <w:r>
              <w:rPr>
                <w:rFonts w:hint="eastAsia"/>
                <w:b/>
                <w:bCs/>
                <w:sz w:val="15"/>
                <w:szCs w:val="15"/>
              </w:rPr>
              <w:t>CP- Timing error 1-RTE-Timing error 2-Margin for EVM window</w:t>
            </w:r>
            <w:r>
              <w:rPr>
                <w:rFonts w:hint="eastAsia"/>
                <w:sz w:val="15"/>
                <w:szCs w:val="15"/>
              </w:rPr>
              <w:t>.</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Alternative 2 to use the coarse reference timing from reference cell with SSB, the supposed UE behavior is different from the legacy intra-band contiguous CA scenario and it is kind of the special implementation for such kind of use case, therefore we propose to have clear network indication to UE to enable such kind of UE</w:t>
      </w:r>
      <w:r>
        <w:rPr>
          <w:rFonts w:hint="default" w:eastAsia="宋体"/>
          <w:szCs w:val="20"/>
          <w:lang w:val="en-US" w:eastAsia="zh-CN"/>
        </w:rPr>
        <w:t>’</w:t>
      </w:r>
      <w:r>
        <w:rPr>
          <w:rFonts w:hint="eastAsia" w:eastAsia="宋体"/>
          <w:szCs w:val="20"/>
          <w:lang w:val="en-US" w:eastAsia="zh-CN"/>
        </w:rPr>
        <w:t>s implementation otherwise it</w:t>
      </w:r>
      <w:r>
        <w:rPr>
          <w:rFonts w:hint="default" w:eastAsia="宋体"/>
          <w:szCs w:val="20"/>
          <w:lang w:val="en-US" w:eastAsia="zh-CN"/>
        </w:rPr>
        <w:t>’</w:t>
      </w:r>
      <w:r>
        <w:rPr>
          <w:rFonts w:hint="eastAsia" w:eastAsia="宋体"/>
          <w:szCs w:val="20"/>
          <w:lang w:val="en-US" w:eastAsia="zh-CN"/>
        </w:rPr>
        <w:t xml:space="preserve">s not workable with Alternative 1.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 xml:space="preserve">Proposal 2: Propose to send the network signalling to guide the correct UE behavior on FFT window setting of SCell without SSB.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the last RAN4 meeting, the exact CP for RTD requirement is still FFS, in the following section, we share some further views on it.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numPr>
                <w:ilvl w:val="0"/>
                <w:numId w:val="6"/>
              </w:numPr>
              <w:overflowPunct w:val="0"/>
              <w:autoSpaceDE w:val="0"/>
              <w:autoSpaceDN w:val="0"/>
              <w:adjustRightInd w:val="0"/>
              <w:spacing w:line="252" w:lineRule="auto"/>
              <w:ind w:left="125" w:leftChars="0" w:firstLine="420"/>
              <w:rPr>
                <w:rFonts w:hint="eastAsia" w:eastAsia="宋体"/>
                <w:szCs w:val="20"/>
                <w:vertAlign w:val="baseline"/>
                <w:lang w:val="en-US" w:eastAsia="zh-CN"/>
              </w:rPr>
            </w:pPr>
            <w:r>
              <w:rPr>
                <w:bCs/>
                <w:highlight w:val="green"/>
              </w:rPr>
              <w:t>note: the CP corresponding to the [largest SCS across CCs or SCell SCS]</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As we mentioned in the Table 1, CP of SCell without SSB should be considered when determining the upper limit instead of CP from the reference cell with SSB transmission.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3: The CP corresponding to SCell without SSB should be taken into account for RTD calculation.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the last meeting, whether to define RRM requirement for RTD less than 260ns, it was still left for further discussion. From our understanding, if the RTD less than 260ns, then TRS transmission for SCell without SSB could be avoided to achieve further power saving gain from the network side.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If we consider the coarse timing error from reference cell as 390ns for 15kHz SSB, RTE error as 130ns and RTD as 260ns, then total timing error for SCell without SSB could be around 780ns which is around 16.7% of CP of 15kHz SCS, the performance degradation for this scenario should be within the acceptable level. Indeed the 16.7% CP is still within the EVM window size if FFT window of reference cell is located in the middle of CP. In short, considering the EVM window size of SSB-less Scell as 40%-60% CP, there would lots of timing margins (920ns to 1880ns level) left for timing difference between reference cell and SCell without SSB. </w:t>
      </w:r>
    </w:p>
    <w:p>
      <w:pPr>
        <w:pStyle w:val="32"/>
        <w:ind w:firstLine="0" w:firstLineChars="0"/>
        <w:rPr>
          <w:kern w:val="0"/>
          <w:sz w:val="20"/>
          <w:szCs w:val="20"/>
        </w:rPr>
      </w:pPr>
      <w:r>
        <w:rPr>
          <w:sz w:val="20"/>
          <w:szCs w:val="20"/>
        </w:rPr>
        <w:drawing>
          <wp:inline distT="0" distB="0" distL="0" distR="0">
            <wp:extent cx="6188710" cy="2451100"/>
            <wp:effectExtent l="0" t="0" r="13970" b="2540"/>
            <wp:docPr id="17" name="图片 17" descr="C:\Users\10164284\AppData\Local\Microsoft\Windows\INetCache\Content.MSO\C6F539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10164284\AppData\Local\Microsoft\Windows\INetCache\Content.MSO\C6F5393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88710" cy="2451375"/>
                    </a:xfrm>
                    <a:prstGeom prst="rect">
                      <a:avLst/>
                    </a:prstGeom>
                    <a:noFill/>
                    <a:ln>
                      <a:noFill/>
                    </a:ln>
                  </pic:spPr>
                </pic:pic>
              </a:graphicData>
            </a:graphic>
          </wp:inline>
        </w:drawing>
      </w:r>
    </w:p>
    <w:p>
      <w:pPr>
        <w:pStyle w:val="32"/>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ascii="Times New Roman" w:hAnsi="Times New Roman" w:cs="Times New Roman"/>
          <w:kern w:val="0"/>
          <w:sz w:val="20"/>
          <w:szCs w:val="20"/>
          <w:lang w:val="en-US" w:eastAsia="zh-CN" w:bidi="ar-SA"/>
        </w:rPr>
        <w:t>5</w:t>
      </w:r>
      <w:r>
        <w:rPr>
          <w:rFonts w:hint="eastAsia" w:ascii="Times New Roman" w:hAnsi="Times New Roman" w:eastAsia="宋体" w:cs="Times New Roman"/>
          <w:kern w:val="0"/>
          <w:sz w:val="20"/>
          <w:szCs w:val="20"/>
          <w:lang w:val="en-US" w:eastAsia="zh-CN" w:bidi="ar-SA"/>
        </w:rPr>
        <w:t>. SSB-less Scell timing operation for RTD equal to 260ns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addition, during the last RAN4 meeting, there were some proposals whether to configure/transmit the TRS for the Scell without SSB especially considering the RTD less than 260ns.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First of all, from the network energy saving perspective, since periodicity of SSB (5ms,10ms,20ms,40ms,80ms, 160ms) is somehow similar as or close to P-TRS periodicity (e.g. 2</w:t>
      </w:r>
      <w:r>
        <w:rPr>
          <w:rFonts w:hint="eastAsia" w:eastAsia="宋体"/>
          <w:szCs w:val="20"/>
          <w:vertAlign w:val="superscript"/>
          <w:lang w:val="en-US" w:eastAsia="zh-CN"/>
        </w:rPr>
        <w:t>u</w:t>
      </w:r>
      <w:r>
        <w:rPr>
          <w:rFonts w:hint="eastAsia" w:eastAsia="宋体"/>
          <w:szCs w:val="20"/>
          <w:lang w:val="en-US" w:eastAsia="zh-CN"/>
        </w:rPr>
        <w:t xml:space="preserve">x10 slot, Xp=10, 20,40,80). Even achieving the power saving gain from SSB-less operation, however the power consumption from P-TRS is over there and still relatively high from network operation perspective, therefore we would like to check the DL performance degradation between P-TRS based timing/freq tracking and compensation vs DMRS based timing/freq tracking and compensation. Based on the following simulation results, it could be found that performance between P-TRS based compensation and DMRS based compensation is similar.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Based on the above analysis from FFT window truncation for SSB-less Scell and performance comparison between P-TRS based and DMRS based compensation, we would like to propose not to configure the P-TRS transmission for RTD less than 260ns. </w:t>
      </w:r>
    </w:p>
    <w:p>
      <w:pPr>
        <w:pStyle w:val="32"/>
        <w:ind w:firstLine="0" w:firstLineChars="0"/>
        <w:jc w:val="center"/>
      </w:pPr>
      <w:r>
        <w:drawing>
          <wp:inline distT="0" distB="0" distL="114300" distR="114300">
            <wp:extent cx="4476115" cy="3357245"/>
            <wp:effectExtent l="0" t="0" r="0" b="1079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4476115" cy="3357245"/>
                    </a:xfrm>
                    <a:prstGeom prst="rect">
                      <a:avLst/>
                    </a:prstGeom>
                    <a:noFill/>
                    <a:ln w="9525">
                      <a:noFill/>
                    </a:ln>
                  </pic:spPr>
                </pic:pic>
              </a:graphicData>
            </a:graphic>
          </wp:inline>
        </w:drawing>
      </w:r>
    </w:p>
    <w:p>
      <w:pPr>
        <w:pStyle w:val="32"/>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ascii="Times New Roman" w:hAnsi="Times New Roman" w:cs="Times New Roman"/>
          <w:kern w:val="0"/>
          <w:sz w:val="20"/>
          <w:szCs w:val="20"/>
          <w:lang w:val="en-US" w:eastAsia="zh-CN" w:bidi="ar-SA"/>
        </w:rPr>
        <w:t>6</w:t>
      </w:r>
      <w:r>
        <w:rPr>
          <w:rFonts w:hint="eastAsia" w:ascii="Times New Roman" w:hAnsi="Times New Roman" w:eastAsia="宋体" w:cs="Times New Roman"/>
          <w:kern w:val="0"/>
          <w:sz w:val="20"/>
          <w:szCs w:val="20"/>
          <w:lang w:val="en-US" w:eastAsia="zh-CN" w:bidi="ar-SA"/>
        </w:rPr>
        <w:t>. PDSCH performance with P-TRS and DMRS based compensation.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p>
    <w:p>
      <w:pPr>
        <w:pStyle w:val="32"/>
        <w:ind w:firstLine="0" w:firstLineChars="0"/>
        <w:jc w:val="center"/>
      </w:pPr>
      <w:r>
        <w:drawing>
          <wp:inline distT="0" distB="0" distL="114300" distR="114300">
            <wp:extent cx="4476115" cy="3357245"/>
            <wp:effectExtent l="0" t="0" r="0" b="1079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4476115" cy="3357245"/>
                    </a:xfrm>
                    <a:prstGeom prst="rect">
                      <a:avLst/>
                    </a:prstGeom>
                    <a:noFill/>
                    <a:ln w="9525">
                      <a:noFill/>
                    </a:ln>
                  </pic:spPr>
                </pic:pic>
              </a:graphicData>
            </a:graphic>
          </wp:inline>
        </w:drawing>
      </w:r>
    </w:p>
    <w:p>
      <w:pPr>
        <w:pStyle w:val="32"/>
        <w:ind w:firstLine="0" w:firstLineChars="0"/>
        <w:jc w:val="center"/>
        <w:rPr>
          <w:rFonts w:hint="eastAsia" w:eastAsia="宋体"/>
          <w:b/>
          <w:bCs/>
          <w:szCs w:val="20"/>
          <w:highlight w:val="none"/>
          <w:lang w:val="en-US" w:eastAsia="zh-CN"/>
        </w:rPr>
      </w:pPr>
      <w:r>
        <w:rPr>
          <w:rFonts w:hint="eastAsia" w:ascii="Times New Roman" w:hAnsi="Times New Roman" w:eastAsia="宋体" w:cs="Times New Roman"/>
          <w:kern w:val="0"/>
          <w:sz w:val="20"/>
          <w:szCs w:val="20"/>
          <w:lang w:val="en-US" w:eastAsia="zh-CN" w:bidi="ar-SA"/>
        </w:rPr>
        <w:t xml:space="preserve">Figure </w:t>
      </w:r>
      <w:r>
        <w:rPr>
          <w:rFonts w:hint="eastAsia" w:ascii="Times New Roman" w:hAnsi="Times New Roman" w:cs="Times New Roman"/>
          <w:kern w:val="0"/>
          <w:sz w:val="20"/>
          <w:szCs w:val="20"/>
          <w:lang w:val="en-US" w:eastAsia="zh-CN" w:bidi="ar-SA"/>
        </w:rPr>
        <w:t>7</w:t>
      </w:r>
      <w:r>
        <w:rPr>
          <w:rFonts w:hint="eastAsia" w:ascii="Times New Roman" w:hAnsi="Times New Roman" w:eastAsia="宋体" w:cs="Times New Roman"/>
          <w:kern w:val="0"/>
          <w:sz w:val="20"/>
          <w:szCs w:val="20"/>
          <w:lang w:val="en-US" w:eastAsia="zh-CN" w:bidi="ar-SA"/>
        </w:rPr>
        <w:t>. PDSCH performance with P-TRS and DMRS based compensation.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Helvetica" w:hAnsi="Helvetica" w:eastAsia="MS Mincho" w:cs="Times New Roman"/>
          <w:b/>
          <w:bCs/>
          <w:iCs/>
          <w:kern w:val="32"/>
          <w:sz w:val="24"/>
          <w:szCs w:val="24"/>
          <w:lang w:val="en-US" w:eastAsia="zh-CN" w:bidi="ar-SA"/>
        </w:rPr>
      </w:pPr>
      <w:r>
        <w:rPr>
          <w:rFonts w:hint="eastAsia" w:eastAsia="宋体"/>
          <w:b/>
          <w:bCs/>
          <w:szCs w:val="20"/>
          <w:highlight w:val="none"/>
          <w:lang w:val="en-US" w:eastAsia="zh-CN"/>
        </w:rPr>
        <w:t>Proposal 4: for the RTD less than 260ns, propose not to configure/transmit the P-TRS.</w:t>
      </w:r>
    </w:p>
    <w:p>
      <w:pPr>
        <w:pStyle w:val="4"/>
        <w:bidi w:val="0"/>
        <w:rPr>
          <w:rFonts w:hint="default" w:ascii="Helvetica" w:hAnsi="Helvetica" w:eastAsia="MS Mincho" w:cs="Times New Roman"/>
          <w:b/>
          <w:bCs/>
          <w:iCs/>
          <w:kern w:val="32"/>
          <w:sz w:val="24"/>
          <w:szCs w:val="24"/>
          <w:lang w:val="en-US" w:eastAsia="zh-CN" w:bidi="ar-SA"/>
        </w:rPr>
      </w:pPr>
      <w:r>
        <w:rPr>
          <w:rFonts w:hint="eastAsia" w:ascii="Helvetica" w:hAnsi="Helvetica" w:eastAsia="MS Mincho" w:cs="Times New Roman"/>
          <w:b/>
          <w:bCs/>
          <w:iCs/>
          <w:kern w:val="32"/>
          <w:sz w:val="24"/>
          <w:szCs w:val="24"/>
          <w:lang w:val="en-US" w:eastAsia="zh-CN" w:bidi="ar-SA"/>
        </w:rPr>
        <w:t>2.1.2 Other side conditions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difference of the reception power, we are fine to divide the discuss into two cases:</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case with the assumption of the UE applying a single RF chain</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case with the assumption of the UE applying dual RF chains</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Under the assumption of a single RF chain used by UE, we prefer to reuse the same demand as in legacy intra-band contiguous CA, i.e. 6dB.</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While referring to the assumption of dual RF chains used by UE, the demand of power imbalance can be more relaxed. It has been approved that the requirement of power imbalance for non co-located non-contiguous intra-band CA is relaxed to 25dB, such power imbalance relaxation can be referenced here. UE is capable of compensating the power difference between the SSB-less SCell and the reference cell caused by the frequency separation. But referring to the transmission power offset, maybe additional signalling is needed to indicate it to UE. Instead of indicating the transmission power offset, another solution is to let UE perform AGC based on the TRS transmitted on the SSB-less SCell. </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5: The side condition on receiving power difference between the SSB-less SCell and the reference cell can be divided into two assumptions: a single RF chain assumed for UE and dual RF chains assumed for UE. </w:t>
      </w:r>
    </w:p>
    <w:p>
      <w:pPr>
        <w:pStyle w:val="11"/>
        <w:numPr>
          <w:ilvl w:val="0"/>
          <w:numId w:val="9"/>
        </w:numPr>
        <w:ind w:left="84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Under the former assumption, the power difference should be within 6dB.</w:t>
      </w:r>
    </w:p>
    <w:p>
      <w:pPr>
        <w:pStyle w:val="11"/>
        <w:numPr>
          <w:ilvl w:val="0"/>
          <w:numId w:val="9"/>
        </w:numPr>
        <w:ind w:left="840" w:leftChars="0" w:hanging="420" w:firstLineChars="0"/>
        <w:rPr>
          <w:rFonts w:hint="default" w:eastAsia="宋体"/>
          <w:szCs w:val="20"/>
          <w:lang w:val="en-US" w:eastAsia="zh-CN"/>
        </w:rPr>
      </w:pPr>
      <w:r>
        <w:rPr>
          <w:rFonts w:hint="eastAsia" w:eastAsia="宋体"/>
          <w:b/>
          <w:bCs/>
          <w:szCs w:val="20"/>
          <w:highlight w:val="none"/>
          <w:lang w:val="en-US" w:eastAsia="zh-CN"/>
        </w:rPr>
        <w:t xml:space="preserve">Under the latter assumption, the power difference is relaxed to 25dB.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With respect to the QCL-TCI state indication, the following proposals were suggested in last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numPr>
                <w:ilvl w:val="0"/>
                <w:numId w:val="10"/>
              </w:numPr>
              <w:spacing w:after="120"/>
              <w:ind w:left="536" w:leftChars="0" w:firstLineChars="0"/>
              <w:rPr>
                <w:szCs w:val="24"/>
                <w:lang w:eastAsia="zh-CN"/>
              </w:rPr>
            </w:pPr>
            <w:r>
              <w:rPr>
                <w:szCs w:val="24"/>
                <w:lang w:eastAsia="zh-CN"/>
              </w:rPr>
              <w:t xml:space="preserve">Proposal 1: RS of SCell without SSB is QCL-A with TRS of the SCell without SSB, and the TRS(s) of the SCell is (are) further QCL-TypeC with SSB(s) of an inter-band active serving cell. </w:t>
            </w:r>
          </w:p>
          <w:p>
            <w:pPr>
              <w:pStyle w:val="32"/>
              <w:numPr>
                <w:ilvl w:val="0"/>
                <w:numId w:val="10"/>
              </w:numPr>
              <w:spacing w:after="120"/>
              <w:ind w:left="536" w:leftChars="0" w:firstLineChars="0"/>
              <w:rPr>
                <w:szCs w:val="24"/>
                <w:lang w:eastAsia="zh-CN"/>
              </w:rPr>
            </w:pPr>
            <w:r>
              <w:rPr>
                <w:szCs w:val="24"/>
                <w:lang w:eastAsia="zh-CN"/>
              </w:rPr>
              <w:t>Proposal 2: Without QCL configuration between the RSs from inter-band carriers</w:t>
            </w:r>
            <w:r>
              <w:rPr>
                <w:rFonts w:hint="eastAsia"/>
                <w:szCs w:val="24"/>
                <w:lang w:val="en-US" w:eastAsia="zh-CN"/>
              </w:rPr>
              <w:t>.</w:t>
            </w:r>
          </w:p>
          <w:p>
            <w:pPr>
              <w:pStyle w:val="32"/>
              <w:numPr>
                <w:ilvl w:val="0"/>
                <w:numId w:val="10"/>
              </w:numPr>
              <w:spacing w:after="120"/>
              <w:ind w:left="536" w:leftChars="0" w:firstLineChars="0"/>
              <w:rPr>
                <w:rFonts w:hint="default" w:eastAsia="宋体"/>
                <w:szCs w:val="20"/>
                <w:vertAlign w:val="baseline"/>
                <w:lang w:val="en-US" w:eastAsia="zh-CN"/>
              </w:rPr>
            </w:pPr>
            <w:r>
              <w:rPr>
                <w:szCs w:val="24"/>
                <w:lang w:eastAsia="zh-CN"/>
              </w:rPr>
              <w:t xml:space="preserve">Proposal 2a: TCI state indication may not be needed to complete the SSB less SCell activation. </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Firstly the target scenario is in FR1, no need to consider beam, so even QCL/TCI state is considered within the SCell activation, no need to consider QCL-D, only focus on QCL-A/B/C. Normally it is assumed that QCL-A and QCL-C are used to provide fine time info and coarse time info respectively. However take a look at the definition of QCL-A/C, not any definition or clarification to show the exact level of sync between the target cell/RS and the reference cell/RS, so the time info indicated via TCI state is weak, we prefer to guarantee the time sync between the SSB-less SCell and reference cell through the side condition of RTD. For details, If 260ns of RTD can be satisfied, similar as that in legacy intra-band CA, no need to indicate the TCI state of PDCCH/PDSCH during SCell activation, so that the uncertainty of when to receive the TCI state indication at UE can be skipped. </w:t>
      </w:r>
      <w:r>
        <w:rPr>
          <w:rFonts w:hint="eastAsia" w:eastAsia="宋体"/>
          <w:szCs w:val="20"/>
          <w:highlight w:val="none"/>
          <w:lang w:val="en-US" w:eastAsia="zh-CN"/>
        </w:rPr>
        <w:t>If somehow relaxed RTD larger than 260ns is satisfied, then TRS is needed to perform fine time tracking, still the TCI state indication can be ignored.</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6: TCI state indication is not necessary during SSB-less SCell activation.</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Referring to the QCL relation within the SSB-less SCell, in legacy intra-band CA, it is required to guarantee the RS of SSB-less SCell is QCL-A with TRS of the SSB-less SCell, which can be reused here so as to ensure the unified timing between any RS within the SSB-less SCell. Furthermore, for the SSB-less SCell of inter-band CA deployment, the fine sync between all the RSs should be ensured by default even without QCL-A configuration.</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In legacy intra-band CA, the QCL-C relation between the TRS of the SSB-less SCell and the SSB of the reference cell is involved in, so as to indicate the aligned coverage and sync between the TRS of SSB-less SCell and the exact SSB of the reference cell.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From the perspective of sync, if the RTD is limited to 260 ns, the timing between the reference cell and SSB-less SCell are well sync, so no need to concern the timing issue. With respect to the coverage, wider beam coverage is normally assumed in FR1, if the reference cell is declared as the PCell, and the referenced SSB index of PCell can be identified by UE, as a result, the intention of aligned coverage and sync between the SSB-less SCell and the reference cell can be realized even without the QCL-C relation configuration. So to our understanding, whether configuring the QCL-C relationship between the SSB-less SCell and reference cell, which depends on the NW decision, the condition of QCL-C relation is not inevitable.  </w:t>
      </w:r>
    </w:p>
    <w:p>
      <w:pPr>
        <w:pStyle w:val="11"/>
        <w:tabs>
          <w:tab w:val="left" w:pos="226"/>
          <w:tab w:val="left" w:pos="284"/>
          <w:tab w:val="left" w:pos="5103"/>
        </w:tabs>
        <w:snapToGrid w:val="0"/>
        <w:spacing w:before="156" w:beforeLines="50"/>
        <w:rPr>
          <w:rFonts w:hint="default" w:eastAsia="宋体"/>
          <w:szCs w:val="20"/>
          <w:highlight w:val="none"/>
          <w:lang w:val="en-US" w:eastAsia="zh-CN"/>
        </w:rPr>
      </w:pPr>
      <w:r>
        <w:rPr>
          <w:rFonts w:hint="eastAsia" w:eastAsia="宋体"/>
          <w:szCs w:val="20"/>
          <w:highlight w:val="none"/>
          <w:lang w:val="en-US" w:eastAsia="zh-CN"/>
        </w:rPr>
        <w:t>While if the RTD condition is relaxed and lager than 260 ns, the condition of QCL-C relation is still necessary to ensure the coarse sync between the reference cell and the SSB-less SCell.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7: The fine sync between all the RSs within the SSB-less SCell should be guaranteed by default. </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8: The condition of QCL-C relation between the TRS of the SSB-less SCell and the SSB of the reference cell is not always necessary.</w:t>
      </w:r>
    </w:p>
    <w:p>
      <w:pPr>
        <w:pStyle w:val="11"/>
        <w:numPr>
          <w:ilvl w:val="0"/>
          <w:numId w:val="11"/>
        </w:numPr>
        <w:ind w:left="42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Provided that the RTD is limited within 260ns, the reference cell and the associated SSB can be identified at UE side, no need to consider this condition.</w:t>
      </w:r>
    </w:p>
    <w:p>
      <w:pPr>
        <w:pStyle w:val="11"/>
        <w:numPr>
          <w:ilvl w:val="0"/>
          <w:numId w:val="11"/>
        </w:numPr>
        <w:ind w:left="42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Otherwise, this condition is needed.</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Due to TRS is involved in Scenario 1, it is necessary to clarify the type of TRS. According to RAN1 specification[2], A-TRS must tie with P-TRS since the QCL-A of A-TRS should be associated with P-TRS in the same cell. So once A-TRS is configured in the SSB-less SCell, in fact the P-TRS should also be configured in the same cell. So the case of only configuring A-TRS without P-TRS in the SSB-less SCell is impossible in spite of such case is beneficial to NW energy saving. So as to realize the intention of NW energy saving, another alternative is to decide whether configuring P-TRS based on the RTD condition. For the case of RTD &lt;=260 ns, not to configure P-TRS since the fine time tracking can be ignored. While for other case, P-TRS is configured by the NW.</w:t>
      </w:r>
    </w:p>
    <w:p>
      <w:pPr>
        <w:pStyle w:val="11"/>
        <w:rPr>
          <w:rFonts w:hint="eastAsia" w:eastAsia="宋体"/>
          <w:b/>
          <w:bCs/>
          <w:szCs w:val="20"/>
          <w:highlight w:val="none"/>
          <w:lang w:val="en-US" w:eastAsia="zh-CN"/>
        </w:rPr>
      </w:pPr>
      <w:r>
        <w:rPr>
          <w:rFonts w:hint="eastAsia" w:eastAsia="宋体"/>
          <w:b/>
          <w:bCs/>
          <w:szCs w:val="20"/>
          <w:highlight w:val="none"/>
          <w:lang w:val="en-US" w:eastAsia="zh-CN"/>
        </w:rPr>
        <w:t>Observation 1: According to RAN1 specification, A-TRS must tie with P-TRS since the QCL-A of A-TRS should be associated with P-TRS in the same 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9: For the case of RTD &lt;=260 ns, not to configure P-TRS since the fine time tracking can be ignored. While for other case, P-TRS is configured by the NW.</w:t>
      </w:r>
    </w:p>
    <w:p>
      <w:pPr>
        <w:pStyle w:val="3"/>
        <w:bidi w:val="0"/>
        <w:rPr>
          <w:rFonts w:hint="eastAsia" w:cs="Times New Roman"/>
          <w:sz w:val="24"/>
          <w:szCs w:val="24"/>
          <w:lang w:val="en-US" w:eastAsia="zh-CN"/>
        </w:rPr>
      </w:pPr>
      <w:r>
        <w:rPr>
          <w:rFonts w:hint="eastAsia" w:cs="Times New Roman"/>
          <w:sz w:val="24"/>
          <w:szCs w:val="24"/>
          <w:lang w:val="en-US" w:eastAsia="zh-CN"/>
        </w:rPr>
        <w:t>2.2 RRM requirements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As we know, the key point of determining the latency of SSB-less SCell activation is whether need to perform TRS based fine time tracking or not. To our understanding, if the following side conditions are met, no need to perform TRS based fine time tracking so the latency of both P-TRS and A-TRS reception can be ignored during the activation procedure. As a result, the latency of SSB-less SCell is 3 ms same as in legacy intra-band CA:</w:t>
      </w:r>
    </w:p>
    <w:p>
      <w:pPr>
        <w:pStyle w:val="11"/>
        <w:keepNext w:val="0"/>
        <w:keepLines w:val="0"/>
        <w:pageBreakBefore w:val="0"/>
        <w:widowControl/>
        <w:numPr>
          <w:ilvl w:val="0"/>
          <w:numId w:val="12"/>
        </w:numPr>
        <w:kinsoku/>
        <w:wordWrap/>
        <w:overflowPunct/>
        <w:topLinePunct w:val="0"/>
        <w:autoSpaceDE/>
        <w:autoSpaceDN/>
        <w:bidi w:val="0"/>
        <w:adjustRightInd/>
        <w:snapToGrid/>
        <w:ind w:left="420" w:leftChars="0" w:hanging="420" w:firstLineChars="0"/>
        <w:textAlignment w:val="auto"/>
        <w:rPr>
          <w:rFonts w:hint="eastAsia"/>
          <w:szCs w:val="24"/>
          <w:lang w:val="en-US" w:eastAsia="zh-CN"/>
        </w:rPr>
      </w:pPr>
      <w:r>
        <w:rPr>
          <w:rFonts w:hint="eastAsia" w:eastAsia="宋体"/>
          <w:szCs w:val="20"/>
          <w:lang w:val="en-US" w:eastAsia="zh-CN"/>
        </w:rPr>
        <w:t xml:space="preserve">RTD </w:t>
      </w:r>
      <w:r>
        <w:rPr>
          <w:rFonts w:hint="eastAsia"/>
          <w:szCs w:val="24"/>
          <w:lang w:eastAsia="zh-CN"/>
        </w:rPr>
        <w:t>≤</w:t>
      </w:r>
      <w:r>
        <w:rPr>
          <w:rFonts w:hint="eastAsia"/>
          <w:szCs w:val="24"/>
          <w:lang w:val="en-US" w:eastAsia="zh-CN"/>
        </w:rPr>
        <w:t xml:space="preserve"> 260 ns</w:t>
      </w:r>
    </w:p>
    <w:p>
      <w:pPr>
        <w:pStyle w:val="11"/>
        <w:keepNext w:val="0"/>
        <w:keepLines w:val="0"/>
        <w:pageBreakBefore w:val="0"/>
        <w:widowControl/>
        <w:numPr>
          <w:ilvl w:val="0"/>
          <w:numId w:val="12"/>
        </w:numPr>
        <w:kinsoku/>
        <w:wordWrap/>
        <w:overflowPunct/>
        <w:topLinePunct w:val="0"/>
        <w:autoSpaceDE/>
        <w:autoSpaceDN/>
        <w:bidi w:val="0"/>
        <w:adjustRightInd/>
        <w:snapToGrid/>
        <w:ind w:left="420" w:leftChars="0" w:hanging="420" w:firstLineChars="0"/>
        <w:textAlignment w:val="auto"/>
        <w:rPr>
          <w:rFonts w:hint="eastAsia"/>
          <w:szCs w:val="24"/>
          <w:lang w:val="en-US" w:eastAsia="zh-CN"/>
        </w:rPr>
      </w:pPr>
      <w:r>
        <w:rPr>
          <w:rFonts w:hint="eastAsia"/>
          <w:szCs w:val="24"/>
          <w:lang w:val="en-US" w:eastAsia="zh-CN"/>
        </w:rPr>
        <w:t xml:space="preserve">Power difference </w:t>
      </w:r>
      <w:r>
        <w:rPr>
          <w:rFonts w:hint="eastAsia"/>
          <w:szCs w:val="24"/>
          <w:lang w:eastAsia="zh-CN"/>
        </w:rPr>
        <w:t>≤</w:t>
      </w:r>
      <w:r>
        <w:rPr>
          <w:rFonts w:hint="eastAsia"/>
          <w:szCs w:val="24"/>
          <w:lang w:val="en-US" w:eastAsia="zh-CN"/>
        </w:rPr>
        <w:t xml:space="preserve"> 6dB</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Otherwise, the TRS based fine time tracking during the SSB-less SCell activation is needed to derive the fine timing of the SSB-less SCell. So the conponent of Tfine timing is needed, then the total latency is larger than 3 ms.</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Besides, if the power imbalance is relaxed to larger than 6dB, then it is hard to directly reuse the AGC factor from reference cell to the SSB-less SCell, to avoid the individual AGC operation in the SSB-less SCell, some NW signalling may be needed such as to tell UE the transmission power offset between the two cells, so that UE can derive the AGC factor of the SSB-less SCell through some adjustment of the reference cell. </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10: The latency of SSB-less SCell activation is 3 ms as in legacy intra-band CA on condition that:</w:t>
      </w:r>
    </w:p>
    <w:p>
      <w:pPr>
        <w:pStyle w:val="11"/>
        <w:numPr>
          <w:ilvl w:val="0"/>
          <w:numId w:val="13"/>
        </w:numPr>
        <w:ind w:left="420" w:leftChars="0" w:hanging="420" w:firstLineChars="0"/>
        <w:rPr>
          <w:rFonts w:hint="default" w:eastAsia="宋体"/>
          <w:b/>
          <w:bCs/>
          <w:szCs w:val="20"/>
          <w:highlight w:val="none"/>
          <w:lang w:val="en-US" w:eastAsia="zh-CN"/>
        </w:rPr>
      </w:pPr>
      <w:r>
        <w:rPr>
          <w:rFonts w:hint="default" w:eastAsia="宋体"/>
          <w:b/>
          <w:bCs/>
          <w:szCs w:val="20"/>
          <w:highlight w:val="none"/>
          <w:lang w:val="en-US" w:eastAsia="zh-CN"/>
        </w:rPr>
        <w:t>RTD ≤ 260 ns</w:t>
      </w:r>
    </w:p>
    <w:p>
      <w:pPr>
        <w:pStyle w:val="11"/>
        <w:numPr>
          <w:ilvl w:val="0"/>
          <w:numId w:val="13"/>
        </w:numPr>
        <w:ind w:left="420" w:leftChars="0" w:hanging="420" w:firstLineChars="0"/>
        <w:rPr>
          <w:rFonts w:hint="default" w:eastAsia="宋体"/>
          <w:b/>
          <w:bCs/>
          <w:szCs w:val="20"/>
          <w:highlight w:val="none"/>
          <w:lang w:val="en-US" w:eastAsia="zh-CN"/>
        </w:rPr>
      </w:pPr>
      <w:r>
        <w:rPr>
          <w:rFonts w:hint="default" w:eastAsia="宋体"/>
          <w:b/>
          <w:bCs/>
          <w:szCs w:val="20"/>
          <w:highlight w:val="none"/>
          <w:lang w:val="en-US" w:eastAsia="zh-CN"/>
        </w:rPr>
        <w:t>Power difference ≤ 6dB</w:t>
      </w:r>
    </w:p>
    <w:p>
      <w:pPr>
        <w:pStyle w:val="3"/>
        <w:bidi w:val="0"/>
        <w:rPr>
          <w:rFonts w:hint="default" w:cs="Times New Roman"/>
          <w:sz w:val="24"/>
          <w:szCs w:val="24"/>
          <w:lang w:val="en-US" w:eastAsia="zh-CN"/>
        </w:rPr>
      </w:pPr>
      <w:r>
        <w:rPr>
          <w:rFonts w:hint="eastAsia" w:cs="Times New Roman"/>
          <w:sz w:val="24"/>
          <w:szCs w:val="24"/>
          <w:lang w:val="en-US" w:eastAsia="zh-CN"/>
        </w:rPr>
        <w:t xml:space="preserve">2.3 Regular L1/L3 measurements </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Due to lack of SSB, so there are two solutions for the regular L1/L3 measurements of SSB-less SCell: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Solution 1: Performing regular L1/L3 measurements on CSI-RS resource</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Solution 2: Sharing the L1/L3 measu</w:t>
      </w:r>
      <w:r>
        <w:rPr>
          <w:rFonts w:hint="eastAsia" w:ascii="Times New Roman" w:hAnsi="Times New Roman" w:cs="Times New Roman"/>
          <w:kern w:val="0"/>
          <w:sz w:val="20"/>
          <w:szCs w:val="20"/>
          <w:lang w:val="en-US" w:eastAsia="zh-CN" w:bidi="ar-SA"/>
        </w:rPr>
        <w:t>r</w:t>
      </w:r>
      <w:r>
        <w:rPr>
          <w:rFonts w:hint="eastAsia" w:ascii="Times New Roman" w:hAnsi="Times New Roman" w:eastAsia="宋体" w:cs="Times New Roman"/>
          <w:kern w:val="0"/>
          <w:sz w:val="20"/>
          <w:szCs w:val="20"/>
          <w:lang w:val="en-US" w:eastAsia="zh-CN" w:bidi="ar-SA"/>
        </w:rPr>
        <w:t>ement results between the SSB-less SCell and reference cell</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Both Solution 1 and 2 are workable. For the deployment of co-located FR1 inter-band CA, it is reasonable to assume that the SSB-less SCell and the reference cell share the same coverage. So from the perspective of mobility, the L3 measurement results of reference cell can be reused to the SSB-less SCell. Regarding the L1 measurement, considering the interference environment to SSB-less SCell and the reference cell may be different, so if CSI-RS used for L1 measurement is configured at the SSB-less SCell, then reuse the legacy CSI-RS based L1measurement requirement is fine. Otherwise, reuse the same L1 measurement results from the reference 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11: For the deployment of co-located FR1 inter-band CA, it is reasonable to assume that the SSB-less SCell and the reference cell share the same coverage, the L3 measurement of reference cell is reused for the SSB-less SCell.</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12: The CSI-RS based L1 measurement is performed provided that the relevant CSI-RS resource is configured by the NW. Otherwise, reuse the L1 measurement result of the reference cell.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we have the following 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Network power saving</w:t>
      </w:r>
      <w:r>
        <w:rPr>
          <w:rFonts w:eastAsia="宋体"/>
          <w:bCs/>
          <w:szCs w:val="20"/>
          <w:lang w:val="en-GB" w:eastAsia="zh-CN"/>
        </w:rPr>
        <w:t>:</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1: Propose to use the following RTD requirement for inter-band CA without SSB as default assumption;</w:t>
      </w:r>
    </w:p>
    <w:p>
      <w:pPr>
        <w:pStyle w:val="32"/>
        <w:ind w:firstLine="0" w:firstLineChars="0"/>
        <w:jc w:val="center"/>
        <w:rPr>
          <w:b/>
          <w:bCs/>
          <w:kern w:val="0"/>
          <w:sz w:val="20"/>
          <w:szCs w:val="20"/>
        </w:rPr>
      </w:pPr>
      <w:r>
        <w:rPr>
          <w:rFonts w:hint="eastAsia"/>
          <w:b/>
          <w:bCs/>
          <w:kern w:val="0"/>
          <w:sz w:val="20"/>
          <w:szCs w:val="20"/>
        </w:rPr>
        <w:t xml:space="preserve">Table 1. timing budget for the </w:t>
      </w:r>
      <w:r>
        <w:rPr>
          <w:rFonts w:hint="eastAsia"/>
          <w:b/>
          <w:bCs/>
          <w:kern w:val="0"/>
          <w:sz w:val="20"/>
          <w:szCs w:val="20"/>
          <w:lang w:val="en-US" w:eastAsia="zh-CN"/>
        </w:rPr>
        <w:t xml:space="preserve">allowable </w:t>
      </w:r>
      <w:r>
        <w:rPr>
          <w:rFonts w:hint="eastAsia"/>
          <w:b/>
          <w:bCs/>
          <w:kern w:val="0"/>
          <w:sz w:val="20"/>
          <w:szCs w:val="20"/>
        </w:rPr>
        <w:t>RTD for inter-band CA with S</w:t>
      </w:r>
      <w:r>
        <w:rPr>
          <w:rFonts w:hint="eastAsia"/>
          <w:b/>
          <w:bCs/>
          <w:kern w:val="0"/>
          <w:sz w:val="20"/>
          <w:szCs w:val="20"/>
          <w:lang w:val="en-US" w:eastAsia="zh-CN"/>
        </w:rPr>
        <w:t>C</w:t>
      </w:r>
      <w:r>
        <w:rPr>
          <w:rFonts w:hint="eastAsia"/>
          <w:b/>
          <w:bCs/>
          <w:kern w:val="0"/>
          <w:sz w:val="20"/>
          <w:szCs w:val="20"/>
        </w:rPr>
        <w:t>ell without SSB</w:t>
      </w:r>
    </w:p>
    <w:tbl>
      <w:tblPr>
        <w:tblStyle w:val="19"/>
        <w:tblW w:w="7830" w:type="dxa"/>
        <w:jc w:val="center"/>
        <w:tblLayout w:type="fixed"/>
        <w:tblCellMar>
          <w:top w:w="0" w:type="dxa"/>
          <w:left w:w="108" w:type="dxa"/>
          <w:bottom w:w="0" w:type="dxa"/>
          <w:right w:w="108" w:type="dxa"/>
        </w:tblCellMar>
      </w:tblPr>
      <w:tblGrid>
        <w:gridCol w:w="824"/>
        <w:gridCol w:w="744"/>
        <w:gridCol w:w="826"/>
        <w:gridCol w:w="826"/>
        <w:gridCol w:w="1004"/>
        <w:gridCol w:w="1004"/>
        <w:gridCol w:w="1004"/>
        <w:gridCol w:w="1598"/>
      </w:tblGrid>
      <w:tr>
        <w:tblPrEx>
          <w:tblCellMar>
            <w:top w:w="0" w:type="dxa"/>
            <w:left w:w="108" w:type="dxa"/>
            <w:bottom w:w="0" w:type="dxa"/>
            <w:right w:w="108" w:type="dxa"/>
          </w:tblCellMar>
        </w:tblPrEx>
        <w:trPr>
          <w:trHeight w:val="90"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r>
              <w:rPr>
                <w:color w:val="000000"/>
                <w:sz w:val="20"/>
                <w:szCs w:val="20"/>
              </w:rPr>
              <w:t>SSB SCS</w:t>
            </w:r>
            <w:r>
              <w:rPr>
                <w:color w:val="000000"/>
                <w:sz w:val="20"/>
                <w:szCs w:val="20"/>
                <w:vertAlign w:val="superscript"/>
              </w:rPr>
              <w:t>1</w:t>
            </w:r>
            <w:r>
              <w:rPr>
                <w:color w:val="000000"/>
                <w:sz w:val="20"/>
                <w:szCs w:val="20"/>
              </w:rPr>
              <w:br w:type="textWrapping"/>
            </w:r>
            <w:r>
              <w:rPr>
                <w:color w:val="000000"/>
                <w:sz w:val="20"/>
                <w:szCs w:val="20"/>
              </w:rPr>
              <w:t>(kHz)</w:t>
            </w:r>
          </w:p>
        </w:tc>
        <w:tc>
          <w:tcPr>
            <w:tcW w:w="744"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20"/>
                <w:szCs w:val="20"/>
              </w:rPr>
            </w:pPr>
            <w:r>
              <w:rPr>
                <w:color w:val="000000"/>
                <w:sz w:val="20"/>
                <w:szCs w:val="20"/>
              </w:rPr>
              <w:t>D</w:t>
            </w:r>
            <w:r>
              <w:rPr>
                <w:rFonts w:hint="eastAsia"/>
                <w:color w:val="000000"/>
                <w:sz w:val="20"/>
                <w:szCs w:val="20"/>
              </w:rPr>
              <w:t>ata</w:t>
            </w:r>
            <w:r>
              <w:rPr>
                <w:color w:val="000000"/>
                <w:sz w:val="20"/>
                <w:szCs w:val="20"/>
              </w:rPr>
              <w:t xml:space="preserve"> SCS</w:t>
            </w:r>
            <w:r>
              <w:rPr>
                <w:color w:val="000000"/>
                <w:sz w:val="20"/>
                <w:szCs w:val="20"/>
                <w:vertAlign w:val="superscript"/>
              </w:rPr>
              <w:t>2</w:t>
            </w:r>
            <w:r>
              <w:rPr>
                <w:color w:val="000000"/>
                <w:sz w:val="20"/>
                <w:szCs w:val="20"/>
              </w:rPr>
              <w:t xml:space="preserve"> </w:t>
            </w:r>
            <w:r>
              <w:rPr>
                <w:color w:val="000000"/>
                <w:sz w:val="20"/>
                <w:szCs w:val="20"/>
              </w:rPr>
              <w:br w:type="textWrapping"/>
            </w:r>
            <w:r>
              <w:rPr>
                <w:color w:val="000000"/>
                <w:sz w:val="20"/>
                <w:szCs w:val="20"/>
              </w:rPr>
              <w:t>(kHz)</w:t>
            </w:r>
          </w:p>
        </w:tc>
        <w:tc>
          <w:tcPr>
            <w:tcW w:w="826" w:type="dxa"/>
            <w:tcBorders>
              <w:top w:val="single" w:color="auto" w:sz="4" w:space="0"/>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CP</w:t>
            </w:r>
          </w:p>
        </w:tc>
        <w:tc>
          <w:tcPr>
            <w:tcW w:w="826"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 xml:space="preserve">Timing error 1 </w:t>
            </w:r>
            <w:r>
              <w:rPr>
                <w:color w:val="000000"/>
                <w:sz w:val="20"/>
                <w:szCs w:val="20"/>
                <w:vertAlign w:val="superscript"/>
              </w:rPr>
              <w:t>3</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 xml:space="preserve">RTE </w:t>
            </w:r>
            <w:r>
              <w:rPr>
                <w:color w:val="000000"/>
                <w:sz w:val="20"/>
                <w:szCs w:val="20"/>
                <w:vertAlign w:val="superscript"/>
              </w:rPr>
              <w:t>4</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Timing error</w:t>
            </w:r>
            <w:r>
              <w:rPr>
                <w:rFonts w:hint="eastAsia"/>
                <w:color w:val="000000"/>
                <w:sz w:val="20"/>
                <w:szCs w:val="20"/>
              </w:rPr>
              <w:t xml:space="preserve"> 2</w:t>
            </w:r>
            <w:r>
              <w:rPr>
                <w:color w:val="000000"/>
                <w:sz w:val="20"/>
                <w:szCs w:val="20"/>
              </w:rPr>
              <w:t xml:space="preserve"> </w:t>
            </w:r>
            <w:r>
              <w:rPr>
                <w:color w:val="000000"/>
                <w:sz w:val="20"/>
                <w:szCs w:val="20"/>
                <w:vertAlign w:val="superscript"/>
              </w:rPr>
              <w:t>5</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Margin for EVM window</w:t>
            </w:r>
            <w:r>
              <w:rPr>
                <w:rFonts w:hint="eastAsia"/>
                <w:color w:val="000000"/>
                <w:sz w:val="20"/>
                <w:szCs w:val="20"/>
              </w:rPr>
              <w:t xml:space="preserve"> </w:t>
            </w:r>
            <w:r>
              <w:rPr>
                <w:rFonts w:hint="eastAsia"/>
                <w:color w:val="000000"/>
                <w:sz w:val="20"/>
                <w:szCs w:val="20"/>
                <w:vertAlign w:val="superscript"/>
              </w:rPr>
              <w:t>6</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Required RTD</w:t>
            </w:r>
          </w:p>
          <w:p>
            <w:pPr>
              <w:jc w:val="center"/>
              <w:rPr>
                <w:color w:val="FF0000"/>
                <w:sz w:val="20"/>
                <w:szCs w:val="20"/>
                <w:highlight w:val="yellow"/>
              </w:rPr>
            </w:pPr>
            <w:r>
              <w:rPr>
                <w:rFonts w:hint="eastAsia"/>
                <w:color w:val="FF0000"/>
                <w:sz w:val="20"/>
                <w:szCs w:val="20"/>
              </w:rPr>
              <w:t>(ns)</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4.7µs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390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940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2915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sz w:val="20"/>
                <w:szCs w:val="20"/>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460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1157</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15</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color w:val="000000"/>
                <w:sz w:val="20"/>
                <w:szCs w:val="20"/>
              </w:rPr>
              <w:t>4.7µs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940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3045</w:t>
            </w:r>
            <w:r>
              <w:rPr>
                <w:rFonts w:hint="eastAsia"/>
                <w:color w:val="FF0000"/>
                <w:kern w:val="0"/>
                <w:sz w:val="20"/>
                <w:szCs w:val="20"/>
                <w:lang w:bidi="ar"/>
              </w:rPr>
              <w:t>-&gt;3000</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30</w:t>
            </w:r>
          </w:p>
        </w:tc>
        <w:tc>
          <w:tcPr>
            <w:tcW w:w="826" w:type="dxa"/>
            <w:tcBorders>
              <w:top w:val="nil"/>
              <w:left w:val="nil"/>
              <w:bottom w:val="single" w:color="auto" w:sz="4" w:space="0"/>
              <w:right w:val="single" w:color="auto" w:sz="4" w:space="0"/>
            </w:tcBorders>
            <w:shd w:val="clear" w:color="auto" w:fill="EDEDED" w:themeFill="accent3" w:themeFillTint="32"/>
            <w:noWrap/>
            <w:vAlign w:val="center"/>
          </w:tcPr>
          <w:p>
            <w:pPr>
              <w:jc w:val="center"/>
              <w:rPr>
                <w:color w:val="000000"/>
                <w:sz w:val="20"/>
                <w:szCs w:val="20"/>
              </w:rPr>
            </w:pPr>
            <w:r>
              <w:rPr>
                <w:sz w:val="20"/>
                <w:szCs w:val="20"/>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color w:val="000000"/>
                <w:sz w:val="20"/>
                <w:szCs w:val="20"/>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color w:val="FF0000"/>
                <w:sz w:val="20"/>
                <w:szCs w:val="20"/>
              </w:rPr>
            </w:pPr>
            <w:r>
              <w:rPr>
                <w:color w:val="FF0000"/>
                <w:sz w:val="20"/>
                <w:szCs w:val="20"/>
              </w:rPr>
              <w:t>460 ns</w:t>
            </w:r>
          </w:p>
        </w:tc>
        <w:tc>
          <w:tcPr>
            <w:tcW w:w="1598"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color w:val="FF0000"/>
                <w:sz w:val="20"/>
                <w:szCs w:val="20"/>
                <w:highlight w:val="yellow"/>
              </w:rPr>
            </w:pPr>
            <w:r>
              <w:rPr>
                <w:color w:val="FF0000"/>
                <w:kern w:val="0"/>
                <w:sz w:val="20"/>
                <w:szCs w:val="20"/>
                <w:lang w:bidi="ar"/>
              </w:rPr>
              <w:t>1222</w:t>
            </w:r>
          </w:p>
        </w:tc>
      </w:tr>
      <w:tr>
        <w:tblPrEx>
          <w:tblCellMar>
            <w:top w:w="0" w:type="dxa"/>
            <w:left w:w="108" w:type="dxa"/>
            <w:bottom w:w="0" w:type="dxa"/>
            <w:right w:w="108" w:type="dxa"/>
          </w:tblCellMar>
        </w:tblPrEx>
        <w:trPr>
          <w:trHeight w:val="300" w:hRule="atLeast"/>
          <w:jc w:val="center"/>
        </w:trPr>
        <w:tc>
          <w:tcPr>
            <w:tcW w:w="7830"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60" w:lineRule="auto"/>
              <w:jc w:val="left"/>
              <w:rPr>
                <w:sz w:val="15"/>
                <w:szCs w:val="15"/>
              </w:rPr>
            </w:pPr>
            <w:r>
              <w:rPr>
                <w:rFonts w:hint="eastAsia"/>
                <w:sz w:val="15"/>
                <w:szCs w:val="15"/>
              </w:rPr>
              <w:t xml:space="preserve">NOTE 1: SSB refer to </w:t>
            </w:r>
            <w:r>
              <w:rPr>
                <w:rFonts w:hint="eastAsia" w:eastAsia="宋体"/>
                <w:sz w:val="15"/>
                <w:szCs w:val="15"/>
                <w:lang w:val="en-US" w:eastAsia="zh-CN"/>
              </w:rPr>
              <w:t xml:space="preserve">reference cell </w:t>
            </w:r>
            <w:r>
              <w:rPr>
                <w:rFonts w:hint="eastAsia"/>
                <w:sz w:val="15"/>
                <w:szCs w:val="15"/>
              </w:rPr>
              <w:t>with SSB;</w:t>
            </w:r>
          </w:p>
          <w:p>
            <w:pPr>
              <w:spacing w:after="0" w:line="260" w:lineRule="auto"/>
              <w:jc w:val="left"/>
              <w:rPr>
                <w:sz w:val="15"/>
                <w:szCs w:val="15"/>
              </w:rPr>
            </w:pPr>
            <w:r>
              <w:rPr>
                <w:rFonts w:hint="eastAsia"/>
                <w:sz w:val="15"/>
                <w:szCs w:val="15"/>
              </w:rPr>
              <w:t>NOTE 2: SCS refer to the DL SCS of S</w:t>
            </w:r>
            <w:r>
              <w:rPr>
                <w:rFonts w:hint="eastAsia" w:eastAsia="宋体"/>
                <w:sz w:val="15"/>
                <w:szCs w:val="15"/>
                <w:lang w:val="en-US" w:eastAsia="zh-CN"/>
              </w:rPr>
              <w:t>C</w:t>
            </w:r>
            <w:r>
              <w:rPr>
                <w:rFonts w:hint="eastAsia"/>
                <w:sz w:val="15"/>
                <w:szCs w:val="15"/>
              </w:rPr>
              <w:t>ell without SSB;</w:t>
            </w:r>
          </w:p>
          <w:p>
            <w:pPr>
              <w:spacing w:after="0" w:line="260" w:lineRule="auto"/>
              <w:jc w:val="left"/>
              <w:rPr>
                <w:sz w:val="15"/>
                <w:szCs w:val="15"/>
              </w:rPr>
            </w:pPr>
            <w:r>
              <w:rPr>
                <w:rFonts w:hint="eastAsia"/>
                <w:sz w:val="15"/>
                <w:szCs w:val="15"/>
              </w:rPr>
              <w:t xml:space="preserve">NOTE 3: SSB based timing estimation error from </w:t>
            </w:r>
            <w:r>
              <w:rPr>
                <w:rFonts w:hint="eastAsia" w:eastAsia="宋体"/>
                <w:sz w:val="15"/>
                <w:szCs w:val="15"/>
                <w:lang w:val="en-US" w:eastAsia="zh-CN"/>
              </w:rPr>
              <w:t>reference cell</w:t>
            </w:r>
            <w:r>
              <w:rPr>
                <w:rFonts w:hint="eastAsia"/>
                <w:sz w:val="15"/>
                <w:szCs w:val="15"/>
              </w:rPr>
              <w:t xml:space="preserve"> with SSB, we reuse the Te requirement as SSB based timing estimation error since Te is mainly decided by DL SSB timing estimation error, Margins and acceptable uplink performance degradation@70% throughput; </w:t>
            </w:r>
          </w:p>
          <w:p>
            <w:pPr>
              <w:spacing w:after="0" w:line="260" w:lineRule="auto"/>
              <w:jc w:val="left"/>
              <w:rPr>
                <w:sz w:val="15"/>
                <w:szCs w:val="15"/>
              </w:rPr>
            </w:pPr>
            <w:r>
              <w:rPr>
                <w:rFonts w:hint="eastAsia"/>
                <w:sz w:val="15"/>
                <w:szCs w:val="15"/>
              </w:rPr>
              <w:t>NOTE 4: RTE refer to the Relative Timing Difference among different Rx chains for different bands, we reuse the TAE error from UL MIMO in 6.4D.3 of TS 38.101-1 as starting point and open for further discussion;</w:t>
            </w:r>
          </w:p>
          <w:p>
            <w:pPr>
              <w:spacing w:after="0" w:line="260" w:lineRule="auto"/>
              <w:jc w:val="left"/>
              <w:rPr>
                <w:sz w:val="15"/>
                <w:szCs w:val="15"/>
              </w:rPr>
            </w:pPr>
            <w:r>
              <w:rPr>
                <w:rFonts w:hint="eastAsia"/>
                <w:sz w:val="15"/>
                <w:szCs w:val="15"/>
              </w:rPr>
              <w:t>NOTE 5: TRS based timing estimation error from SSB-less S</w:t>
            </w:r>
            <w:r>
              <w:rPr>
                <w:rFonts w:hint="eastAsia" w:eastAsia="宋体"/>
                <w:sz w:val="15"/>
                <w:szCs w:val="15"/>
                <w:lang w:val="en-US" w:eastAsia="zh-CN"/>
              </w:rPr>
              <w:t>C</w:t>
            </w:r>
            <w:r>
              <w:rPr>
                <w:rFonts w:hint="eastAsia"/>
                <w:sz w:val="15"/>
                <w:szCs w:val="15"/>
              </w:rPr>
              <w:t>ell, please find the TRS based timing estimation error in the following section;</w:t>
            </w:r>
          </w:p>
          <w:p>
            <w:pPr>
              <w:spacing w:after="0" w:line="260" w:lineRule="auto"/>
              <w:jc w:val="left"/>
              <w:rPr>
                <w:sz w:val="15"/>
                <w:szCs w:val="15"/>
              </w:rPr>
            </w:pPr>
            <w:r>
              <w:rPr>
                <w:rFonts w:hint="eastAsia"/>
                <w:sz w:val="15"/>
                <w:szCs w:val="15"/>
              </w:rPr>
              <w:t>NOTE 6: In order to do TRS base</w:t>
            </w:r>
            <w:r>
              <w:rPr>
                <w:rFonts w:hint="eastAsia" w:eastAsia="宋体"/>
                <w:sz w:val="15"/>
                <w:szCs w:val="15"/>
                <w:lang w:val="en-US" w:eastAsia="zh-CN"/>
              </w:rPr>
              <w:t>d</w:t>
            </w:r>
            <w:r>
              <w:rPr>
                <w:rFonts w:hint="eastAsia"/>
                <w:sz w:val="15"/>
                <w:szCs w:val="15"/>
              </w:rPr>
              <w:t xml:space="preserve"> fine tim</w:t>
            </w:r>
            <w:r>
              <w:rPr>
                <w:rFonts w:hint="eastAsia" w:eastAsia="宋体"/>
                <w:sz w:val="15"/>
                <w:szCs w:val="15"/>
                <w:lang w:val="en-US" w:eastAsia="zh-CN"/>
              </w:rPr>
              <w:t>e</w:t>
            </w:r>
            <w:r>
              <w:rPr>
                <w:rFonts w:hint="eastAsia"/>
                <w:sz w:val="15"/>
                <w:szCs w:val="15"/>
              </w:rPr>
              <w:t xml:space="preserve"> tracking outside of EVM window of S</w:t>
            </w:r>
            <w:r>
              <w:rPr>
                <w:rFonts w:hint="eastAsia" w:eastAsia="宋体"/>
                <w:sz w:val="15"/>
                <w:szCs w:val="15"/>
                <w:lang w:val="en-US" w:eastAsia="zh-CN"/>
              </w:rPr>
              <w:t>C</w:t>
            </w:r>
            <w:r>
              <w:rPr>
                <w:rFonts w:hint="eastAsia"/>
                <w:sz w:val="15"/>
                <w:szCs w:val="15"/>
              </w:rPr>
              <w:t>ell without SSB, margin for EVM window size should be equal to (CP-EVM window)/2=(20-30)*CP which depends on the BW and SCS configuration.</w:t>
            </w:r>
          </w:p>
          <w:p>
            <w:pPr>
              <w:spacing w:after="0" w:line="260" w:lineRule="auto"/>
              <w:jc w:val="left"/>
              <w:rPr>
                <w:sz w:val="15"/>
                <w:szCs w:val="15"/>
              </w:rPr>
            </w:pPr>
            <w:r>
              <w:rPr>
                <w:rFonts w:hint="eastAsia"/>
                <w:sz w:val="15"/>
                <w:szCs w:val="15"/>
              </w:rPr>
              <w:t xml:space="preserve">NOTE 7: The </w:t>
            </w:r>
            <w:r>
              <w:rPr>
                <w:rFonts w:hint="eastAsia" w:eastAsia="宋体"/>
                <w:sz w:val="15"/>
                <w:szCs w:val="15"/>
                <w:lang w:val="en-US" w:eastAsia="zh-CN"/>
              </w:rPr>
              <w:t xml:space="preserve">allowable </w:t>
            </w:r>
            <w:r>
              <w:rPr>
                <w:rFonts w:hint="eastAsia"/>
                <w:sz w:val="15"/>
                <w:szCs w:val="15"/>
              </w:rPr>
              <w:t xml:space="preserve">RTD is equal to </w:t>
            </w:r>
            <w:r>
              <w:rPr>
                <w:rFonts w:hint="eastAsia"/>
                <w:b/>
                <w:bCs/>
                <w:sz w:val="15"/>
                <w:szCs w:val="15"/>
              </w:rPr>
              <w:t>CP- Timing error 1-RTE-Timing error 2-Margin for EVM window</w:t>
            </w:r>
            <w:r>
              <w:rPr>
                <w:rFonts w:hint="eastAsia"/>
                <w:sz w:val="15"/>
                <w:szCs w:val="15"/>
              </w:rPr>
              <w:t>.</w:t>
            </w:r>
          </w:p>
        </w:tc>
      </w:tr>
    </w:tbl>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 xml:space="preserve">Proposal 2: Propose to send the network signalling to guide the correct UE behavior on FFT window setting of SCell without SSB.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3: The CP corresponding to SCell without SSB should be taken into account for RTD calculation.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Helvetica" w:hAnsi="Helvetica" w:eastAsia="MS Mincho" w:cs="Times New Roman"/>
          <w:b/>
          <w:bCs/>
          <w:iCs/>
          <w:kern w:val="32"/>
          <w:sz w:val="24"/>
          <w:szCs w:val="24"/>
          <w:lang w:val="en-US" w:eastAsia="zh-CN" w:bidi="ar-SA"/>
        </w:rPr>
      </w:pPr>
      <w:r>
        <w:rPr>
          <w:rFonts w:hint="eastAsia" w:eastAsia="宋体"/>
          <w:b/>
          <w:bCs/>
          <w:szCs w:val="20"/>
          <w:highlight w:val="none"/>
          <w:lang w:val="en-US" w:eastAsia="zh-CN"/>
        </w:rPr>
        <w:t>Proposal 4: for the RTD less than 260ns, propose not to configure/transmit the P-TRS.</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5: The side condition on receiving power difference between the SSB-less SCell and the reference cell can be divided into two assumptions: a single RF chain assumed for UE and dual RF chains assumed for UE. </w:t>
      </w:r>
    </w:p>
    <w:p>
      <w:pPr>
        <w:pStyle w:val="11"/>
        <w:numPr>
          <w:ilvl w:val="0"/>
          <w:numId w:val="9"/>
        </w:numPr>
        <w:ind w:left="84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Under the former assumption, the power difference should be within 6dB.</w:t>
      </w:r>
    </w:p>
    <w:p>
      <w:pPr>
        <w:pStyle w:val="11"/>
        <w:numPr>
          <w:ilvl w:val="0"/>
          <w:numId w:val="9"/>
        </w:numPr>
        <w:ind w:left="840" w:leftChars="0" w:hanging="420" w:firstLineChars="0"/>
        <w:rPr>
          <w:rFonts w:hint="default" w:eastAsia="宋体"/>
          <w:szCs w:val="20"/>
          <w:lang w:val="en-US" w:eastAsia="zh-CN"/>
        </w:rPr>
      </w:pPr>
      <w:r>
        <w:rPr>
          <w:rFonts w:hint="eastAsia" w:eastAsia="宋体"/>
          <w:b/>
          <w:bCs/>
          <w:szCs w:val="20"/>
          <w:highlight w:val="none"/>
          <w:lang w:val="en-US" w:eastAsia="zh-CN"/>
        </w:rPr>
        <w:t xml:space="preserve">Under the latter assumption, the power difference is relaxed to 25dB. </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6: TCI state indication is not necessary during SSB-less SCell activation.</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7: The fine sync between all the RSs within the SSB-less SCell should be guaranteed by default. </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8: The condition of QCL-C relation between the TRS of the SSB-less SCell and the SSB of the reference cell is not always necessary.</w:t>
      </w:r>
    </w:p>
    <w:p>
      <w:pPr>
        <w:pStyle w:val="11"/>
        <w:numPr>
          <w:ilvl w:val="0"/>
          <w:numId w:val="11"/>
        </w:numPr>
        <w:ind w:left="42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Provided that the RTD is limited within 260ns, the reference cell and the associated SSB can be identified at UE side, no need to consider this condition.</w:t>
      </w:r>
    </w:p>
    <w:p>
      <w:pPr>
        <w:pStyle w:val="11"/>
        <w:numPr>
          <w:ilvl w:val="0"/>
          <w:numId w:val="11"/>
        </w:numPr>
        <w:ind w:left="42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Otherwise, this condition is needed.</w:t>
      </w:r>
    </w:p>
    <w:p>
      <w:pPr>
        <w:pStyle w:val="11"/>
        <w:rPr>
          <w:rFonts w:hint="eastAsia" w:eastAsia="宋体"/>
          <w:b/>
          <w:bCs/>
          <w:szCs w:val="20"/>
          <w:highlight w:val="none"/>
          <w:lang w:val="en-US" w:eastAsia="zh-CN"/>
        </w:rPr>
      </w:pPr>
      <w:r>
        <w:rPr>
          <w:rFonts w:hint="eastAsia" w:eastAsia="宋体"/>
          <w:b/>
          <w:bCs/>
          <w:szCs w:val="20"/>
          <w:highlight w:val="none"/>
          <w:lang w:val="en-US" w:eastAsia="zh-CN"/>
        </w:rPr>
        <w:t>Observation 1: According to RAN1 specification, A-TRS must tie with P-TRS since the QCL-A of A-TRS should be associated with P-TRS in the same 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9: For the case of RTD &lt;=260 ns, not to configure P-TRS since the fine time tracking can be ignored. While for other case, P-TRS is configured by the NW.</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10: The latency of SSB-less SCell activation is 3 ms as in legacy intra-band CA on condition that:</w:t>
      </w:r>
    </w:p>
    <w:p>
      <w:pPr>
        <w:pStyle w:val="11"/>
        <w:numPr>
          <w:ilvl w:val="0"/>
          <w:numId w:val="13"/>
        </w:numPr>
        <w:ind w:left="420" w:leftChars="0" w:hanging="420" w:firstLineChars="0"/>
        <w:rPr>
          <w:rFonts w:hint="default" w:eastAsia="宋体"/>
          <w:b/>
          <w:bCs/>
          <w:szCs w:val="20"/>
          <w:highlight w:val="none"/>
          <w:lang w:val="en-US" w:eastAsia="zh-CN"/>
        </w:rPr>
      </w:pPr>
      <w:r>
        <w:rPr>
          <w:rFonts w:hint="default" w:eastAsia="宋体"/>
          <w:b/>
          <w:bCs/>
          <w:szCs w:val="20"/>
          <w:highlight w:val="none"/>
          <w:lang w:val="en-US" w:eastAsia="zh-CN"/>
        </w:rPr>
        <w:t>RTD ≤ 260 ns</w:t>
      </w:r>
    </w:p>
    <w:p>
      <w:pPr>
        <w:pStyle w:val="11"/>
        <w:numPr>
          <w:ilvl w:val="0"/>
          <w:numId w:val="13"/>
        </w:numPr>
        <w:ind w:left="420" w:leftChars="0" w:hanging="420" w:firstLineChars="0"/>
        <w:rPr>
          <w:rFonts w:hint="default" w:eastAsia="宋体"/>
          <w:b/>
          <w:bCs/>
          <w:szCs w:val="20"/>
          <w:highlight w:val="none"/>
          <w:lang w:val="en-US" w:eastAsia="zh-CN"/>
        </w:rPr>
      </w:pPr>
      <w:r>
        <w:rPr>
          <w:rFonts w:hint="default" w:eastAsia="宋体"/>
          <w:b/>
          <w:bCs/>
          <w:szCs w:val="20"/>
          <w:highlight w:val="none"/>
          <w:lang w:val="en-US" w:eastAsia="zh-CN"/>
        </w:rPr>
        <w:t>Power difference ≤ 6dB</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11: For the deployment of co-located FR1 inter-band CA, it is reasonable to assume that the SSB-less SCell and the reference cell share the same coverage, the L3 measurement of reference cell is reused for the SSB-less SCell.</w:t>
      </w:r>
    </w:p>
    <w:p>
      <w:pPr>
        <w:pStyle w:val="11"/>
        <w:rPr>
          <w:rFonts w:eastAsia="宋体"/>
          <w:bCs/>
          <w:szCs w:val="20"/>
          <w:lang w:val="en-GB" w:eastAsia="zh-CN"/>
        </w:rPr>
      </w:pPr>
      <w:r>
        <w:rPr>
          <w:rFonts w:hint="eastAsia" w:eastAsia="宋体"/>
          <w:b/>
          <w:bCs/>
          <w:szCs w:val="20"/>
          <w:highlight w:val="none"/>
          <w:lang w:val="en-US" w:eastAsia="zh-CN"/>
        </w:rPr>
        <w:t>Proposal 12: The CSI-RS based L1 measurement is performed provided that the relevant CSI-RS resource is configured by the NW. Otherwise, reuse the L1 measurement result of the reference cell.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14"/>
        </w:numPr>
        <w:ind w:left="0"/>
        <w:rPr>
          <w:lang w:val="en-US"/>
        </w:rPr>
      </w:pPr>
      <w:r>
        <w:rPr>
          <w:rFonts w:hint="eastAsia"/>
          <w:lang w:val="en-US" w:eastAsia="zh-CN"/>
        </w:rPr>
        <w:t xml:space="preserve">R4-2314381, </w:t>
      </w:r>
      <w:r>
        <w:rPr>
          <w:rFonts w:hint="default"/>
          <w:lang w:val="en-US" w:eastAsia="zh-CN"/>
        </w:rPr>
        <w:t>“WF on RRM requirements for NR network energy saving”</w:t>
      </w:r>
      <w:r>
        <w:rPr>
          <w:rFonts w:hint="eastAsia"/>
          <w:lang w:val="en-US" w:eastAsia="zh-CN"/>
        </w:rPr>
        <w:t>, Huawei</w:t>
      </w:r>
    </w:p>
    <w:p>
      <w:pPr>
        <w:pStyle w:val="6"/>
        <w:numPr>
          <w:ilvl w:val="0"/>
          <w:numId w:val="14"/>
        </w:numPr>
        <w:rPr>
          <w:lang w:val="en-US"/>
        </w:rPr>
      </w:pPr>
      <w:r>
        <w:rPr>
          <w:rFonts w:hint="eastAsia"/>
          <w:lang w:val="en-US" w:eastAsia="zh-CN"/>
        </w:rPr>
        <w:t>TS 38.214-h60</w:t>
      </w:r>
      <w:r>
        <w:rPr>
          <w:lang w:val="en-US"/>
        </w:rPr>
        <w:t xml:space="preserve">. </w:t>
      </w:r>
    </w:p>
    <w:p>
      <w:pPr>
        <w:pStyle w:val="6"/>
        <w:numPr>
          <w:ilvl w:val="0"/>
          <w:numId w:val="14"/>
        </w:numPr>
        <w:ind w:left="0"/>
        <w:rPr>
          <w:rFonts w:hint="eastAsia"/>
          <w:lang w:val="en-US" w:eastAsia="zh-CN"/>
        </w:rPr>
      </w:pPr>
      <w:r>
        <w:rPr>
          <w:rFonts w:hint="eastAsia"/>
          <w:lang w:val="en-US" w:eastAsia="zh-CN"/>
        </w:rPr>
        <w:t>R4-1713545,Consideration on EVM window length reduction for NR, Nokia, Nokia Shanghai Bell</w:t>
      </w:r>
    </w:p>
    <w:p>
      <w:pPr>
        <w:pStyle w:val="6"/>
        <w:numPr>
          <w:ilvl w:val="0"/>
          <w:numId w:val="14"/>
        </w:numPr>
        <w:ind w:left="0"/>
        <w:rPr>
          <w:rFonts w:hint="eastAsia"/>
          <w:lang w:val="en-US" w:eastAsia="zh-CN"/>
        </w:rPr>
      </w:pPr>
      <w:r>
        <w:rPr>
          <w:rFonts w:hint="eastAsia"/>
          <w:lang w:val="en-US" w:eastAsia="zh-CN"/>
        </w:rPr>
        <w:t>Green Coexistence for 5G Waveform Candidates: A Review, IEEE Access</w:t>
      </w:r>
    </w:p>
    <w:p>
      <w:pPr>
        <w:pStyle w:val="6"/>
        <w:numPr>
          <w:ilvl w:val="0"/>
          <w:numId w:val="0"/>
        </w:numPr>
        <w:rPr>
          <w:lang w:val="en-US"/>
        </w:rPr>
      </w:pP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Appendix</w:t>
      </w:r>
    </w:p>
    <w:p>
      <w:pPr>
        <w:pStyle w:val="68"/>
        <w:numPr>
          <w:ilvl w:val="0"/>
          <w:numId w:val="0"/>
        </w:numPr>
        <w:tabs>
          <w:tab w:val="left" w:pos="567"/>
          <w:tab w:val="clear" w:pos="1985"/>
        </w:tabs>
        <w:adjustRightInd w:val="0"/>
        <w:spacing w:line="260" w:lineRule="auto"/>
        <w:jc w:val="center"/>
        <w:outlineLvl w:val="9"/>
        <w:rPr>
          <w:rFonts w:ascii="Times New Roman" w:hAnsi="Times New Roman"/>
          <w:sz w:val="20"/>
          <w:szCs w:val="20"/>
        </w:rPr>
      </w:pPr>
      <w:r>
        <w:rPr>
          <w:rFonts w:hint="eastAsia" w:ascii="Times New Roman" w:hAnsi="Times New Roman"/>
          <w:sz w:val="20"/>
          <w:szCs w:val="20"/>
        </w:rPr>
        <w:t>Table 1. Simulation assumptions for EVM measurement</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47"/>
        <w:gridCol w:w="35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 w:hRule="atLeast"/>
          <w:jc w:val="center"/>
        </w:trPr>
        <w:tc>
          <w:tcPr>
            <w:tcW w:w="2947" w:type="dxa"/>
            <w:vAlign w:val="center"/>
          </w:tcPr>
          <w:p>
            <w:pPr>
              <w:pStyle w:val="37"/>
              <w:rPr>
                <w:color w:val="FF0000"/>
              </w:rPr>
            </w:pPr>
            <w:r>
              <w:rPr>
                <w:color w:val="FF0000"/>
              </w:rPr>
              <w:t>Bandwidth</w:t>
            </w:r>
          </w:p>
        </w:tc>
        <w:tc>
          <w:tcPr>
            <w:tcW w:w="3577" w:type="dxa"/>
            <w:vAlign w:val="center"/>
          </w:tcPr>
          <w:p>
            <w:pPr>
              <w:pStyle w:val="37"/>
              <w:rPr>
                <w:rFonts w:eastAsia="宋体"/>
                <w:lang w:val="en-US" w:eastAsia="zh-CN"/>
              </w:rPr>
            </w:pPr>
            <w:r>
              <w:rPr>
                <w:rFonts w:hint="eastAsia" w:eastAsia="宋体"/>
                <w:lang w:val="en-US" w:eastAsia="zh-CN"/>
              </w:rPr>
              <w:t>20</w:t>
            </w:r>
            <w:r>
              <w:t xml:space="preserve"> MHz</w:t>
            </w:r>
            <w:r>
              <w:rPr>
                <w:rFonts w:hint="eastAsia" w:eastAsia="宋体"/>
                <w:lang w:val="en-US" w:eastAsia="zh-CN"/>
              </w:rPr>
              <w:t>/100MHz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2947" w:type="dxa"/>
            <w:vAlign w:val="center"/>
          </w:tcPr>
          <w:p>
            <w:pPr>
              <w:pStyle w:val="37"/>
              <w:rPr>
                <w:color w:val="FF0000"/>
              </w:rPr>
            </w:pPr>
            <w:r>
              <w:rPr>
                <w:color w:val="FF0000"/>
              </w:rPr>
              <w:t>FFT size</w:t>
            </w:r>
          </w:p>
        </w:tc>
        <w:tc>
          <w:tcPr>
            <w:tcW w:w="3577" w:type="dxa"/>
            <w:vAlign w:val="center"/>
          </w:tcPr>
          <w:p>
            <w:pPr>
              <w:pStyle w:val="37"/>
              <w:rPr>
                <w:rFonts w:eastAsia="宋体"/>
                <w:lang w:val="en-US" w:eastAsia="zh-CN"/>
              </w:rPr>
            </w:pPr>
            <w:r>
              <w:rPr>
                <w:rFonts w:hint="eastAsia" w:eastAsia="宋体"/>
                <w:lang w:val="en-US" w:eastAsia="zh-CN"/>
              </w:rPr>
              <w:t>2048/4096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9" w:hRule="atLeast"/>
          <w:jc w:val="center"/>
        </w:trPr>
        <w:tc>
          <w:tcPr>
            <w:tcW w:w="2947" w:type="dxa"/>
            <w:vAlign w:val="center"/>
          </w:tcPr>
          <w:p>
            <w:pPr>
              <w:pStyle w:val="37"/>
              <w:rPr>
                <w:color w:val="FF0000"/>
              </w:rPr>
            </w:pPr>
            <w:r>
              <w:rPr>
                <w:rFonts w:hint="eastAsia"/>
                <w:color w:val="FF0000"/>
              </w:rPr>
              <w:t>Subcarrier spacing</w:t>
            </w:r>
          </w:p>
        </w:tc>
        <w:tc>
          <w:tcPr>
            <w:tcW w:w="3577" w:type="dxa"/>
            <w:vAlign w:val="center"/>
          </w:tcPr>
          <w:p>
            <w:pPr>
              <w:pStyle w:val="37"/>
              <w:rPr>
                <w:rFonts w:eastAsia="宋体"/>
                <w:lang w:val="en-US" w:eastAsia="zh-CN"/>
              </w:rPr>
            </w:pPr>
            <w:r>
              <w:t>15 KHz</w:t>
            </w:r>
            <w:r>
              <w:rPr>
                <w:rFonts w:hint="eastAsia" w:eastAsia="宋体"/>
                <w:lang w:val="en-US" w:eastAsia="zh-CN"/>
              </w:rPr>
              <w:t>/ 30KHz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jc w:val="center"/>
        </w:trPr>
        <w:tc>
          <w:tcPr>
            <w:tcW w:w="2947" w:type="dxa"/>
            <w:vAlign w:val="center"/>
          </w:tcPr>
          <w:p>
            <w:pPr>
              <w:pStyle w:val="37"/>
              <w:rPr>
                <w:color w:val="FF0000"/>
              </w:rPr>
            </w:pPr>
            <w:r>
              <w:rPr>
                <w:color w:val="FF0000"/>
              </w:rPr>
              <w:t>Cyclic prefix</w:t>
            </w:r>
          </w:p>
          <w:p>
            <w:pPr>
              <w:pStyle w:val="37"/>
              <w:rPr>
                <w:color w:val="FF0000"/>
              </w:rPr>
            </w:pPr>
            <w:r>
              <w:rPr>
                <w:color w:val="FF0000"/>
              </w:rPr>
              <w:t>(Number of symbols)</w:t>
            </w:r>
          </w:p>
        </w:tc>
        <w:tc>
          <w:tcPr>
            <w:tcW w:w="3577" w:type="dxa"/>
            <w:vAlign w:val="center"/>
          </w:tcPr>
          <w:p>
            <w:pPr>
              <w:pStyle w:val="37"/>
              <w:rPr>
                <w:rFonts w:eastAsia="宋体"/>
                <w:lang w:val="en-US" w:eastAsia="zh-CN"/>
              </w:rPr>
            </w:pPr>
            <w:r>
              <w:rPr>
                <w:rFonts w:hint="eastAsia" w:eastAsia="宋体"/>
                <w:lang w:val="en-US" w:eastAsia="zh-CN"/>
              </w:rPr>
              <w:t>(160,144)/(352,288)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 xml:space="preserve">Modulation </w:t>
            </w:r>
          </w:p>
        </w:tc>
        <w:tc>
          <w:tcPr>
            <w:tcW w:w="3577" w:type="dxa"/>
            <w:vAlign w:val="center"/>
          </w:tcPr>
          <w:p>
            <w:pPr>
              <w:pStyle w:val="37"/>
              <w:rPr>
                <w:rFonts w:eastAsia="宋体"/>
                <w:lang w:val="en-US" w:eastAsia="zh-CN"/>
              </w:rPr>
            </w:pPr>
            <w:r>
              <w:rPr>
                <w:rFonts w:hint="eastAsia" w:eastAsia="宋体"/>
                <w:lang w:val="en-US" w:eastAsia="zh-CN"/>
              </w:rPr>
              <w:t>256QAM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Coding</w:t>
            </w:r>
          </w:p>
        </w:tc>
        <w:tc>
          <w:tcPr>
            <w:tcW w:w="3577" w:type="dxa"/>
            <w:vAlign w:val="center"/>
          </w:tcPr>
          <w:p>
            <w:pPr>
              <w:pStyle w:val="37"/>
              <w:rPr>
                <w:rFonts w:eastAsia="宋体"/>
                <w:lang w:val="en-US" w:eastAsia="zh-CN"/>
              </w:rPr>
            </w:pPr>
            <w:r>
              <w:rPr>
                <w:rFonts w:hint="eastAsia" w:eastAsia="宋体"/>
                <w:lang w:val="en-US" w:eastAsia="zh-CN"/>
              </w:rPr>
              <w:t>LDPC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 xml:space="preserve">Power </w:t>
            </w:r>
          </w:p>
        </w:tc>
        <w:tc>
          <w:tcPr>
            <w:tcW w:w="3577" w:type="dxa"/>
            <w:vAlign w:val="center"/>
          </w:tcPr>
          <w:p>
            <w:pPr>
              <w:pStyle w:val="37"/>
              <w:rPr>
                <w:rFonts w:eastAsia="宋体"/>
                <w:lang w:val="en-US" w:eastAsia="zh-CN"/>
              </w:rPr>
            </w:pPr>
            <w:r>
              <w:rPr>
                <w:rFonts w:hint="eastAsia" w:eastAsia="宋体"/>
                <w:lang w:val="en-US" w:eastAsia="zh-CN"/>
              </w:rPr>
              <w:t>46dBm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Layer</w:t>
            </w:r>
          </w:p>
        </w:tc>
        <w:tc>
          <w:tcPr>
            <w:tcW w:w="3577" w:type="dxa"/>
            <w:vAlign w:val="center"/>
          </w:tcPr>
          <w:p>
            <w:pPr>
              <w:pStyle w:val="37"/>
              <w:rPr>
                <w:rFonts w:eastAsia="宋体"/>
                <w:lang w:val="en-US" w:eastAsia="zh-CN"/>
              </w:rPr>
            </w:pPr>
            <w:r>
              <w:rPr>
                <w:rFonts w:hint="eastAsia" w:eastAsia="宋体"/>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HAQR process</w:t>
            </w:r>
          </w:p>
        </w:tc>
        <w:tc>
          <w:tcPr>
            <w:tcW w:w="3577" w:type="dxa"/>
            <w:vAlign w:val="center"/>
          </w:tcPr>
          <w:p>
            <w:pPr>
              <w:pStyle w:val="37"/>
              <w:rPr>
                <w:rFonts w:eastAsia="宋体"/>
                <w:lang w:val="en-US" w:eastAsia="zh-CN"/>
              </w:rPr>
            </w:pPr>
            <w:r>
              <w:rPr>
                <w:rFonts w:hint="eastAsia" w:eastAsia="宋体"/>
                <w:lang w:val="en-US" w:eastAsia="zh-CN"/>
              </w:rPr>
              <w:t>1</w:t>
            </w:r>
          </w:p>
        </w:tc>
      </w:tr>
    </w:tbl>
    <w:p>
      <w:pPr>
        <w:pStyle w:val="6"/>
        <w:numPr>
          <w:ilvl w:val="255"/>
          <w:numId w:val="0"/>
        </w:numPr>
        <w:rPr>
          <w:lang w:val="en-US"/>
        </w:rPr>
      </w:pPr>
    </w:p>
    <w:p>
      <w:pPr>
        <w:pStyle w:val="68"/>
        <w:numPr>
          <w:ilvl w:val="0"/>
          <w:numId w:val="0"/>
        </w:numPr>
        <w:pBdr>
          <w:top w:val="none" w:color="auto" w:sz="0" w:space="1"/>
        </w:pBdr>
        <w:tabs>
          <w:tab w:val="left" w:pos="567"/>
          <w:tab w:val="clear" w:pos="1985"/>
        </w:tabs>
        <w:adjustRightInd w:val="0"/>
        <w:spacing w:line="260" w:lineRule="auto"/>
        <w:jc w:val="center"/>
        <w:outlineLvl w:val="9"/>
        <w:rPr>
          <w:rFonts w:hint="eastAsia" w:ascii="Times New Roman" w:hAnsi="Times New Roman"/>
          <w:sz w:val="20"/>
          <w:szCs w:val="20"/>
        </w:rPr>
      </w:pPr>
      <w:r>
        <w:rPr>
          <w:rFonts w:hint="eastAsia" w:ascii="Times New Roman" w:hAnsi="Times New Roman"/>
          <w:sz w:val="20"/>
          <w:szCs w:val="20"/>
        </w:rPr>
        <w:t>Table 2. Simulation assumptions for performance evaluation for P-TRS based timing/freq tracking and DMRS based tracking</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47"/>
        <w:gridCol w:w="35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 w:hRule="atLeast"/>
          <w:jc w:val="center"/>
        </w:trPr>
        <w:tc>
          <w:tcPr>
            <w:tcW w:w="2947" w:type="dxa"/>
            <w:vAlign w:val="center"/>
          </w:tcPr>
          <w:p>
            <w:pPr>
              <w:pStyle w:val="37"/>
              <w:rPr>
                <w:color w:val="FF0000"/>
              </w:rPr>
            </w:pPr>
            <w:r>
              <w:rPr>
                <w:color w:val="FF0000"/>
              </w:rPr>
              <w:t>Bandwidth</w:t>
            </w:r>
          </w:p>
        </w:tc>
        <w:tc>
          <w:tcPr>
            <w:tcW w:w="3577" w:type="dxa"/>
            <w:vAlign w:val="center"/>
          </w:tcPr>
          <w:p>
            <w:pPr>
              <w:pStyle w:val="37"/>
              <w:rPr>
                <w:rFonts w:hint="default" w:eastAsia="宋体"/>
                <w:lang w:val="en-US" w:eastAsia="zh-CN"/>
              </w:rPr>
            </w:pPr>
            <w:r>
              <w:rPr>
                <w:rFonts w:hint="eastAsia" w:eastAsia="宋体"/>
                <w:lang w:val="en-US" w:eastAsia="zh-CN"/>
              </w:rPr>
              <w:t>10</w:t>
            </w:r>
            <w:r>
              <w:t xml:space="preserve"> MHz</w:t>
            </w:r>
            <w:r>
              <w:rPr>
                <w:rFonts w:hint="eastAsia"/>
                <w:lang w:val="en-US" w:eastAsia="zh-CN"/>
              </w:rPr>
              <w:t>/100MHz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2947" w:type="dxa"/>
            <w:vAlign w:val="center"/>
          </w:tcPr>
          <w:p>
            <w:pPr>
              <w:pStyle w:val="37"/>
              <w:rPr>
                <w:rFonts w:ascii="Arial" w:hAnsi="Arial" w:eastAsia="Times New Roman" w:cs="Times New Roman"/>
                <w:b/>
                <w:color w:val="FF0000"/>
                <w:kern w:val="0"/>
                <w:sz w:val="18"/>
                <w:szCs w:val="20"/>
                <w:lang w:val="en-GB" w:eastAsia="ja-JP" w:bidi="ar-SA"/>
              </w:rPr>
            </w:pPr>
            <w:r>
              <w:rPr>
                <w:rFonts w:hint="eastAsia"/>
                <w:color w:val="FF0000"/>
              </w:rPr>
              <w:t>Subcarrier spacing</w:t>
            </w:r>
          </w:p>
        </w:tc>
        <w:tc>
          <w:tcPr>
            <w:tcW w:w="3577" w:type="dxa"/>
            <w:vAlign w:val="center"/>
          </w:tcPr>
          <w:p>
            <w:pPr>
              <w:pStyle w:val="37"/>
              <w:rPr>
                <w:rFonts w:hint="default" w:ascii="Arial" w:hAnsi="Arial" w:eastAsia="宋体" w:cs="Times New Roman"/>
                <w:b/>
                <w:kern w:val="0"/>
                <w:sz w:val="18"/>
                <w:szCs w:val="20"/>
                <w:lang w:val="en-US" w:eastAsia="zh-CN" w:bidi="ar-SA"/>
              </w:rPr>
            </w:pPr>
            <w:r>
              <w:t>15</w:t>
            </w:r>
            <w:r>
              <w:rPr>
                <w:rFonts w:hint="eastAsia"/>
                <w:lang w:val="en-US" w:eastAsia="zh-CN"/>
              </w:rPr>
              <w:t>k</w:t>
            </w:r>
            <w:r>
              <w:t>Hz</w:t>
            </w:r>
            <w:r>
              <w:rPr>
                <w:rFonts w:hint="eastAsia"/>
                <w:lang w:val="en-US" w:eastAsia="zh-CN"/>
              </w:rPr>
              <w:t>/30kHz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9" w:hRule="atLeast"/>
          <w:jc w:val="center"/>
        </w:trPr>
        <w:tc>
          <w:tcPr>
            <w:tcW w:w="2947" w:type="dxa"/>
            <w:vAlign w:val="center"/>
          </w:tcPr>
          <w:p>
            <w:pPr>
              <w:pStyle w:val="37"/>
              <w:rPr>
                <w:rFonts w:hint="default" w:eastAsia="宋体"/>
                <w:color w:val="FF0000"/>
                <w:lang w:val="en-US" w:eastAsia="zh-CN"/>
              </w:rPr>
            </w:pPr>
            <w:r>
              <w:rPr>
                <w:rFonts w:hint="eastAsia" w:eastAsia="宋体"/>
                <w:color w:val="FF0000"/>
                <w:lang w:val="en-US" w:eastAsia="zh-CN"/>
              </w:rPr>
              <w:t>Antenna configuration</w:t>
            </w:r>
          </w:p>
        </w:tc>
        <w:tc>
          <w:tcPr>
            <w:tcW w:w="3577" w:type="dxa"/>
            <w:vAlign w:val="center"/>
          </w:tcPr>
          <w:p>
            <w:pPr>
              <w:pStyle w:val="37"/>
              <w:rPr>
                <w:rFonts w:hint="default" w:eastAsia="宋体"/>
                <w:lang w:val="en-US" w:eastAsia="zh-CN"/>
              </w:rPr>
            </w:pPr>
            <w:r>
              <w:rPr>
                <w:rFonts w:hint="eastAsia" w:eastAsia="宋体"/>
                <w:lang w:val="en-US" w:eastAsia="zh-CN"/>
              </w:rPr>
              <w:t>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jc w:val="center"/>
        </w:trPr>
        <w:tc>
          <w:tcPr>
            <w:tcW w:w="2947" w:type="dxa"/>
            <w:vAlign w:val="center"/>
          </w:tcPr>
          <w:p>
            <w:pPr>
              <w:pStyle w:val="37"/>
              <w:rPr>
                <w:rFonts w:ascii="Arial" w:hAnsi="Arial" w:eastAsia="宋体" w:cs="Times New Roman"/>
                <w:b/>
                <w:color w:val="FF0000"/>
                <w:kern w:val="0"/>
                <w:sz w:val="18"/>
                <w:szCs w:val="20"/>
                <w:lang w:val="en-US" w:eastAsia="zh-CN" w:bidi="ar-SA"/>
              </w:rPr>
            </w:pPr>
            <w:r>
              <w:rPr>
                <w:rFonts w:hint="eastAsia" w:eastAsia="宋体"/>
                <w:color w:val="FF0000"/>
                <w:lang w:val="en-US" w:eastAsia="zh-CN"/>
              </w:rPr>
              <w:t xml:space="preserve">Modulation </w:t>
            </w:r>
          </w:p>
        </w:tc>
        <w:tc>
          <w:tcPr>
            <w:tcW w:w="3577" w:type="dxa"/>
            <w:vAlign w:val="center"/>
          </w:tcPr>
          <w:p>
            <w:pPr>
              <w:pStyle w:val="37"/>
              <w:rPr>
                <w:rFonts w:ascii="Arial" w:hAnsi="Arial" w:eastAsia="宋体" w:cs="Times New Roman"/>
                <w:b/>
                <w:kern w:val="0"/>
                <w:sz w:val="18"/>
                <w:szCs w:val="20"/>
                <w:lang w:val="en-US" w:eastAsia="zh-CN" w:bidi="ar-SA"/>
              </w:rPr>
            </w:pPr>
            <w:r>
              <w:rPr>
                <w:rFonts w:hint="eastAsia" w:eastAsia="宋体"/>
                <w:lang w:val="en-US" w:eastAsia="zh-CN"/>
              </w:rPr>
              <w:t>256QAM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Propagation channel</w:t>
            </w:r>
          </w:p>
        </w:tc>
        <w:tc>
          <w:tcPr>
            <w:tcW w:w="3577" w:type="dxa"/>
            <w:vAlign w:val="center"/>
          </w:tcPr>
          <w:p>
            <w:pPr>
              <w:pStyle w:val="37"/>
              <w:rPr>
                <w:rFonts w:hint="default" w:eastAsia="宋体"/>
                <w:lang w:val="en-US" w:eastAsia="zh-CN"/>
              </w:rPr>
            </w:pPr>
            <w:r>
              <w:rPr>
                <w:rFonts w:hint="eastAsia" w:eastAsia="宋体"/>
                <w:lang w:val="en-US"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jc w:val="center"/>
              <w:rPr>
                <w:rFonts w:hint="default" w:eastAsia="宋体"/>
                <w:color w:val="FF0000"/>
                <w:lang w:val="en-US" w:eastAsia="zh-CN"/>
              </w:rPr>
            </w:pPr>
            <w:r>
              <w:rPr>
                <w:rFonts w:hint="eastAsia" w:eastAsia="宋体"/>
                <w:color w:val="FF0000"/>
                <w:lang w:val="en-US" w:eastAsia="zh-CN"/>
              </w:rPr>
              <w:t>Rank</w:t>
            </w:r>
          </w:p>
        </w:tc>
        <w:tc>
          <w:tcPr>
            <w:tcW w:w="3577" w:type="dxa"/>
            <w:vAlign w:val="center"/>
          </w:tcPr>
          <w:p>
            <w:pPr>
              <w:pStyle w:val="37"/>
              <w:rPr>
                <w:rFonts w:hint="default" w:eastAsia="宋体"/>
                <w:lang w:val="en-US" w:eastAsia="zh-CN"/>
              </w:rPr>
            </w:pPr>
            <w:r>
              <w:rPr>
                <w:rFonts w:hint="eastAsia" w:eastAsia="宋体"/>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jc w:val="center"/>
              <w:rPr>
                <w:rFonts w:eastAsia="宋体"/>
                <w:color w:val="FF0000"/>
                <w:lang w:val="en-US" w:eastAsia="zh-CN"/>
              </w:rPr>
            </w:pPr>
            <w:r>
              <w:rPr>
                <w:rFonts w:hint="eastAsia" w:eastAsia="宋体"/>
                <w:color w:val="FF0000"/>
                <w:lang w:val="en-US" w:eastAsia="zh-CN"/>
              </w:rPr>
              <w:t>Receiver type</w:t>
            </w:r>
          </w:p>
        </w:tc>
        <w:tc>
          <w:tcPr>
            <w:tcW w:w="3577" w:type="dxa"/>
            <w:vAlign w:val="center"/>
          </w:tcPr>
          <w:p>
            <w:pPr>
              <w:pStyle w:val="37"/>
              <w:rPr>
                <w:rFonts w:hint="default" w:eastAsia="宋体"/>
                <w:lang w:val="en-US" w:eastAsia="zh-CN"/>
              </w:rPr>
            </w:pPr>
            <w:r>
              <w:rPr>
                <w:rFonts w:hint="eastAsia" w:eastAsia="宋体"/>
                <w:lang w:val="en-US" w:eastAsia="zh-CN"/>
              </w:rPr>
              <w:t>MMSE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FF0000"/>
                <w:lang w:val="en-US" w:eastAsia="zh-CN"/>
              </w:rPr>
            </w:pPr>
            <w:r>
              <w:rPr>
                <w:rFonts w:hint="eastAsia" w:eastAsia="宋体"/>
                <w:color w:val="FF0000"/>
                <w:lang w:val="en-US" w:eastAsia="zh-CN"/>
              </w:rPr>
              <w:t>DMRS configuration</w:t>
            </w:r>
          </w:p>
        </w:tc>
        <w:tc>
          <w:tcPr>
            <w:tcW w:w="3577" w:type="dxa"/>
            <w:vAlign w:val="center"/>
          </w:tcPr>
          <w:p>
            <w:pPr>
              <w:pStyle w:val="37"/>
              <w:rPr>
                <w:rFonts w:hint="default" w:eastAsia="宋体"/>
                <w:lang w:val="en-US" w:eastAsia="zh-CN"/>
              </w:rPr>
            </w:pPr>
            <w:r>
              <w:rPr>
                <w:rFonts w:hint="eastAsia" w:eastAsia="宋体"/>
                <w:lang w:val="en-US" w:eastAsia="zh-CN"/>
              </w:rPr>
              <w:t>Type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FF0000"/>
                <w:lang w:val="en-US" w:eastAsia="zh-CN"/>
              </w:rPr>
            </w:pPr>
            <w:r>
              <w:rPr>
                <w:rFonts w:hint="eastAsia" w:eastAsia="宋体"/>
                <w:color w:val="FF0000"/>
                <w:lang w:val="en-US" w:eastAsia="zh-CN"/>
              </w:rPr>
              <w:t>Number of additional DMRS</w:t>
            </w:r>
          </w:p>
        </w:tc>
        <w:tc>
          <w:tcPr>
            <w:tcW w:w="3577" w:type="dxa"/>
            <w:vAlign w:val="center"/>
          </w:tcPr>
          <w:p>
            <w:pPr>
              <w:pStyle w:val="37"/>
              <w:rPr>
                <w:rFonts w:hint="default" w:eastAsia="宋体"/>
                <w:lang w:val="en-US" w:eastAsia="zh-CN"/>
              </w:rPr>
            </w:pPr>
            <w:r>
              <w:rPr>
                <w:rFonts w:hint="eastAsia" w:eastAsia="宋体"/>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FF0000"/>
                <w:lang w:val="en-US" w:eastAsia="zh-CN"/>
              </w:rPr>
            </w:pPr>
            <w:r>
              <w:rPr>
                <w:rFonts w:hint="eastAsia" w:eastAsia="宋体"/>
                <w:color w:val="FF0000"/>
                <w:lang w:val="en-US" w:eastAsia="zh-CN"/>
              </w:rPr>
              <w:t>TRS configuration</w:t>
            </w:r>
          </w:p>
        </w:tc>
        <w:tc>
          <w:tcPr>
            <w:tcW w:w="3577" w:type="dxa"/>
            <w:vAlign w:val="center"/>
          </w:tcPr>
          <w:p>
            <w:pPr>
              <w:pStyle w:val="37"/>
              <w:rPr>
                <w:rFonts w:hint="default" w:eastAsia="宋体"/>
                <w:lang w:val="en-US" w:eastAsia="zh-CN"/>
              </w:rPr>
            </w:pPr>
            <w:r>
              <w:rPr>
                <w:rFonts w:hint="eastAsia" w:eastAsia="宋体"/>
                <w:lang w:val="en-US" w:eastAsia="zh-CN"/>
              </w:rPr>
              <w:t>(7,11)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FF0000"/>
                <w:lang w:val="en-US" w:eastAsia="zh-CN"/>
              </w:rPr>
            </w:pPr>
            <w:r>
              <w:rPr>
                <w:rFonts w:hint="eastAsia" w:eastAsia="宋体"/>
                <w:color w:val="FF0000"/>
                <w:lang w:val="en-US" w:eastAsia="zh-CN"/>
              </w:rPr>
              <w:t>TRS density</w:t>
            </w:r>
          </w:p>
        </w:tc>
        <w:tc>
          <w:tcPr>
            <w:tcW w:w="3577" w:type="dxa"/>
            <w:vAlign w:val="center"/>
          </w:tcPr>
          <w:p>
            <w:pPr>
              <w:pStyle w:val="37"/>
              <w:rPr>
                <w:rFonts w:hint="default" w:eastAsia="宋体"/>
                <w:lang w:val="en-US" w:eastAsia="zh-CN"/>
              </w:rPr>
            </w:pPr>
            <w:r>
              <w:rPr>
                <w:rFonts w:hint="eastAsia" w:eastAsia="宋体"/>
                <w:lang w:val="en-US" w:eastAsia="zh-CN"/>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eastAsia" w:eastAsia="宋体"/>
                <w:color w:val="FF0000"/>
                <w:lang w:val="en-US" w:eastAsia="zh-CN"/>
              </w:rPr>
            </w:pPr>
            <w:r>
              <w:rPr>
                <w:rFonts w:hint="eastAsia" w:eastAsia="宋体"/>
                <w:color w:val="FF0000"/>
                <w:lang w:val="en-US" w:eastAsia="zh-CN"/>
              </w:rPr>
              <w:t>TRS periodicity</w:t>
            </w:r>
          </w:p>
        </w:tc>
        <w:tc>
          <w:tcPr>
            <w:tcW w:w="3577" w:type="dxa"/>
            <w:vAlign w:val="center"/>
          </w:tcPr>
          <w:p>
            <w:pPr>
              <w:pStyle w:val="37"/>
              <w:rPr>
                <w:rFonts w:hint="default" w:eastAsia="宋体"/>
                <w:lang w:val="en-US" w:eastAsia="zh-CN"/>
              </w:rPr>
            </w:pPr>
            <w:r>
              <w:rPr>
                <w:rFonts w:hint="eastAsia" w:eastAsia="宋体"/>
                <w:lang w:val="en-US" w:eastAsia="zh-CN"/>
              </w:rPr>
              <w:t>20 slot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eastAsia" w:eastAsia="宋体"/>
                <w:color w:val="FF0000"/>
                <w:lang w:val="en-US" w:eastAsia="zh-CN"/>
              </w:rPr>
            </w:pPr>
            <w:r>
              <w:rPr>
                <w:rFonts w:hint="eastAsia" w:eastAsia="宋体"/>
                <w:color w:val="FF0000"/>
                <w:lang w:val="en-US" w:eastAsia="zh-CN"/>
              </w:rPr>
              <w:t>Number of HARQ Processes</w:t>
            </w:r>
          </w:p>
        </w:tc>
        <w:tc>
          <w:tcPr>
            <w:tcW w:w="3577" w:type="dxa"/>
            <w:vAlign w:val="center"/>
          </w:tcPr>
          <w:p>
            <w:pPr>
              <w:pStyle w:val="37"/>
              <w:rPr>
                <w:rFonts w:hint="default" w:eastAsia="宋体"/>
                <w:lang w:val="en-US" w:eastAsia="zh-CN"/>
              </w:rPr>
            </w:pPr>
            <w:r>
              <w:rPr>
                <w:rFonts w:hint="eastAsia" w:eastAsia="宋体"/>
                <w:lang w:val="en-US" w:eastAsia="zh-CN"/>
              </w:rPr>
              <w:t>1</w:t>
            </w:r>
          </w:p>
        </w:tc>
      </w:tr>
    </w:tbl>
    <w:p>
      <w:pPr>
        <w:pStyle w:val="68"/>
        <w:numPr>
          <w:ilvl w:val="0"/>
          <w:numId w:val="0"/>
        </w:numPr>
        <w:pBdr>
          <w:top w:val="none" w:color="auto" w:sz="0" w:space="1"/>
        </w:pBdr>
        <w:tabs>
          <w:tab w:val="left" w:pos="567"/>
          <w:tab w:val="clear" w:pos="1985"/>
        </w:tabs>
        <w:adjustRightInd w:val="0"/>
        <w:spacing w:line="260" w:lineRule="auto"/>
        <w:jc w:val="center"/>
        <w:outlineLvl w:val="9"/>
        <w:rPr>
          <w:rFonts w:hint="eastAsia" w:ascii="Times New Roman" w:hAnsi="Times New Roman"/>
          <w:sz w:val="20"/>
          <w:szCs w:val="20"/>
        </w:rPr>
      </w:pPr>
    </w:p>
    <w:p>
      <w:pPr>
        <w:pStyle w:val="17"/>
        <w:shd w:val="clear" w:color="auto" w:fill="FFFFFF"/>
        <w:spacing w:before="60" w:beforeAutospacing="0" w:after="0" w:afterAutospacing="0" w:line="300" w:lineRule="atLeast"/>
        <w:rPr>
          <w:rFonts w:ascii="Times New Roman" w:hAnsi="Times New Roman" w:cs="Times New Roman"/>
          <w:sz w:val="20"/>
          <w:szCs w:val="20"/>
        </w:rPr>
      </w:pPr>
    </w:p>
    <w:p>
      <w:pPr>
        <w:pStyle w:val="17"/>
        <w:shd w:val="clear" w:color="auto" w:fill="FFFFFF"/>
        <w:spacing w:before="60" w:beforeAutospacing="0" w:after="0" w:afterAutospacing="0" w:line="300" w:lineRule="atLeast"/>
        <w:rPr>
          <w:rFonts w:ascii="Times New Roman" w:hAnsi="Times New Roman" w:cs="Times New Roman"/>
          <w:sz w:val="20"/>
          <w:szCs w:val="20"/>
        </w:rPr>
      </w:pPr>
    </w:p>
    <w:p>
      <w:pPr>
        <w:pStyle w:val="68"/>
        <w:numPr>
          <w:ilvl w:val="0"/>
          <w:numId w:val="0"/>
        </w:numPr>
        <w:pBdr>
          <w:top w:val="none" w:color="auto" w:sz="0" w:space="1"/>
        </w:pBdr>
        <w:tabs>
          <w:tab w:val="left" w:pos="567"/>
          <w:tab w:val="clear" w:pos="1985"/>
        </w:tabs>
        <w:adjustRightInd w:val="0"/>
        <w:spacing w:line="260" w:lineRule="auto"/>
        <w:jc w:val="center"/>
        <w:outlineLvl w:val="9"/>
      </w:pPr>
      <w:r>
        <w:drawing>
          <wp:inline distT="0" distB="0" distL="114300" distR="114300">
            <wp:extent cx="5683250" cy="5547995"/>
            <wp:effectExtent l="0" t="0" r="1270" b="146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5683250" cy="5547995"/>
                    </a:xfrm>
                    <a:prstGeom prst="rect">
                      <a:avLst/>
                    </a:prstGeom>
                    <a:noFill/>
                    <a:ln>
                      <a:noFill/>
                    </a:ln>
                  </pic:spPr>
                </pic:pic>
              </a:graphicData>
            </a:graphic>
          </wp:inline>
        </w:drawing>
      </w:r>
    </w:p>
    <w:p>
      <w:pPr>
        <w:pStyle w:val="68"/>
        <w:numPr>
          <w:ilvl w:val="0"/>
          <w:numId w:val="0"/>
        </w:numPr>
        <w:pBdr>
          <w:top w:val="none" w:color="auto" w:sz="0" w:space="1"/>
        </w:pBdr>
        <w:tabs>
          <w:tab w:val="left" w:pos="567"/>
          <w:tab w:val="clear" w:pos="1985"/>
        </w:tabs>
        <w:adjustRightInd w:val="0"/>
        <w:spacing w:line="260" w:lineRule="auto"/>
        <w:jc w:val="center"/>
        <w:outlineLvl w:val="9"/>
        <w:rPr>
          <w:rFonts w:ascii="Times New Roman" w:hAnsi="Times New Roman"/>
          <w:sz w:val="20"/>
          <w:szCs w:val="20"/>
        </w:rPr>
      </w:pPr>
      <w:r>
        <w:rPr>
          <w:rFonts w:hint="eastAsia" w:ascii="Times New Roman" w:hAnsi="Times New Roman"/>
          <w:sz w:val="20"/>
          <w:szCs w:val="20"/>
        </w:rPr>
        <w:t>F</w:t>
      </w:r>
      <w:r>
        <w:rPr>
          <w:rFonts w:hint="eastAsia" w:ascii="Times New Roman" w:hAnsi="Times New Roman"/>
          <w:sz w:val="20"/>
          <w:szCs w:val="20"/>
          <w:lang w:val="en-US" w:eastAsia="zh-CN"/>
        </w:rPr>
        <w:t>igure</w:t>
      </w:r>
      <w:r>
        <w:rPr>
          <w:rFonts w:hint="eastAsia" w:ascii="Times New Roman" w:hAnsi="Times New Roman"/>
          <w:sz w:val="20"/>
          <w:szCs w:val="20"/>
        </w:rPr>
        <w:t xml:space="preserve"> </w:t>
      </w:r>
      <w:r>
        <w:rPr>
          <w:rFonts w:hint="eastAsia" w:ascii="Times New Roman" w:hAnsi="Times New Roman"/>
          <w:sz w:val="20"/>
          <w:szCs w:val="20"/>
          <w:lang w:val="en-US" w:eastAsia="zh-CN"/>
        </w:rPr>
        <w:t>8</w:t>
      </w:r>
      <w:r>
        <w:rPr>
          <w:rFonts w:hint="eastAsia" w:ascii="Times New Roman" w:hAnsi="Times New Roman"/>
          <w:sz w:val="20"/>
          <w:szCs w:val="20"/>
        </w:rPr>
        <w:t>. CP-OFDM WOLA waveform for transmitter and receiver side [</w:t>
      </w:r>
      <w:r>
        <w:rPr>
          <w:rFonts w:hint="eastAsia" w:ascii="Times New Roman" w:hAnsi="Times New Roman"/>
          <w:sz w:val="20"/>
          <w:szCs w:val="20"/>
          <w:lang w:val="en-US" w:eastAsia="zh-CN"/>
        </w:rPr>
        <w:t>4</w:t>
      </w:r>
      <w:r>
        <w:rPr>
          <w:rFonts w:hint="eastAsia" w:ascii="Times New Roman" w:hAnsi="Times New Roman"/>
          <w:sz w:val="20"/>
          <w:szCs w:val="20"/>
        </w:rPr>
        <w:t>]</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5E506EC"/>
    <w:multiLevelType w:val="singleLevel"/>
    <w:tmpl w:val="D5E506EC"/>
    <w:lvl w:ilvl="0" w:tentative="0">
      <w:start w:val="1"/>
      <w:numFmt w:val="bullet"/>
      <w:lvlText w:val=""/>
      <w:lvlJc w:val="left"/>
      <w:pPr>
        <w:ind w:left="420" w:hanging="420"/>
      </w:pPr>
      <w:rPr>
        <w:rFonts w:hint="default" w:ascii="Wingdings" w:hAnsi="Wingdings"/>
      </w:rPr>
    </w:lvl>
  </w:abstractNum>
  <w:abstractNum w:abstractNumId="3">
    <w:nsid w:val="E185FFDB"/>
    <w:multiLevelType w:val="singleLevel"/>
    <w:tmpl w:val="E185FFDB"/>
    <w:lvl w:ilvl="0" w:tentative="0">
      <w:start w:val="1"/>
      <w:numFmt w:val="bullet"/>
      <w:lvlText w:val=""/>
      <w:lvlJc w:val="left"/>
      <w:pPr>
        <w:ind w:left="420" w:hanging="420"/>
      </w:pPr>
      <w:rPr>
        <w:rFonts w:hint="default" w:ascii="Wingdings" w:hAnsi="Wingdings"/>
      </w:rPr>
    </w:lvl>
  </w:abstractNum>
  <w:abstractNum w:abstractNumId="4">
    <w:nsid w:val="E90CFDB6"/>
    <w:multiLevelType w:val="singleLevel"/>
    <w:tmpl w:val="E90CFDB6"/>
    <w:lvl w:ilvl="0" w:tentative="0">
      <w:start w:val="1"/>
      <w:numFmt w:val="bullet"/>
      <w:lvlText w:val=""/>
      <w:lvlJc w:val="left"/>
      <w:pPr>
        <w:ind w:left="420" w:hanging="420"/>
      </w:pPr>
      <w:rPr>
        <w:rFonts w:hint="default" w:ascii="Wingdings" w:hAnsi="Wingdings"/>
      </w:rPr>
    </w:lvl>
  </w:abstractNum>
  <w:abstractNum w:abstractNumId="5">
    <w:nsid w:val="F67167FF"/>
    <w:multiLevelType w:val="singleLevel"/>
    <w:tmpl w:val="F67167FF"/>
    <w:lvl w:ilvl="0" w:tentative="0">
      <w:start w:val="1"/>
      <w:numFmt w:val="bullet"/>
      <w:lvlText w:val=""/>
      <w:lvlJc w:val="left"/>
      <w:pPr>
        <w:tabs>
          <w:tab w:val="left" w:pos="420"/>
        </w:tabs>
        <w:ind w:left="84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4018E4E"/>
    <w:multiLevelType w:val="singleLevel"/>
    <w:tmpl w:val="44018E4E"/>
    <w:lvl w:ilvl="0" w:tentative="0">
      <w:start w:val="1"/>
      <w:numFmt w:val="bullet"/>
      <w:lvlText w:val=""/>
      <w:lvlJc w:val="left"/>
      <w:pPr>
        <w:tabs>
          <w:tab w:val="left" w:pos="420"/>
        </w:tabs>
        <w:ind w:left="840" w:hanging="420"/>
      </w:pPr>
      <w:rPr>
        <w:rFonts w:hint="default" w:ascii="Wingdings" w:hAnsi="Wingdings"/>
      </w:rPr>
    </w:lvl>
  </w:abstractNum>
  <w:abstractNum w:abstractNumId="8">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3F3A867"/>
    <w:multiLevelType w:val="singleLevel"/>
    <w:tmpl w:val="53F3A867"/>
    <w:lvl w:ilvl="0" w:tentative="0">
      <w:start w:val="1"/>
      <w:numFmt w:val="bullet"/>
      <w:lvlText w:val=""/>
      <w:lvlJc w:val="left"/>
      <w:pPr>
        <w:ind w:left="420"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8"/>
      <w:numFmt w:val="bullet"/>
      <w:lvlText w:val="-"/>
      <w:lvlJc w:val="left"/>
      <w:pPr>
        <w:tabs>
          <w:tab w:val="left" w:pos="-420"/>
        </w:tabs>
        <w:ind w:left="1956" w:hanging="360"/>
      </w:pPr>
      <w:rPr>
        <w:rFonts w:hint="default" w:ascii="Times New Roman" w:hAnsi="Times New Roman" w:eastAsia="Times New Roman" w:cs="Times New Roman"/>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67267C66"/>
    <w:multiLevelType w:val="multilevel"/>
    <w:tmpl w:val="67267C66"/>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3"/>
  </w:num>
  <w:num w:numId="2">
    <w:abstractNumId w:val="8"/>
  </w:num>
  <w:num w:numId="3">
    <w:abstractNumId w:val="1"/>
  </w:num>
  <w:num w:numId="4">
    <w:abstractNumId w:val="11"/>
  </w:num>
  <w:num w:numId="5">
    <w:abstractNumId w:val="6"/>
  </w:num>
  <w:num w:numId="6">
    <w:abstractNumId w:val="12"/>
  </w:num>
  <w:num w:numId="7">
    <w:abstractNumId w:val="2"/>
  </w:num>
  <w:num w:numId="8">
    <w:abstractNumId w:val="3"/>
  </w:num>
  <w:num w:numId="9">
    <w:abstractNumId w:val="5"/>
  </w:num>
  <w:num w:numId="10">
    <w:abstractNumId w:val="10"/>
  </w:num>
  <w:num w:numId="11">
    <w:abstractNumId w:val="4"/>
  </w:num>
  <w:num w:numId="12">
    <w:abstractNumId w:val="7"/>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D3C2F"/>
    <w:rsid w:val="0BB0429A"/>
    <w:rsid w:val="0BFF5FC6"/>
    <w:rsid w:val="0C394019"/>
    <w:rsid w:val="0D2A60F1"/>
    <w:rsid w:val="0E101265"/>
    <w:rsid w:val="0E352832"/>
    <w:rsid w:val="0E6A489D"/>
    <w:rsid w:val="0FDB2428"/>
    <w:rsid w:val="0FDE07F8"/>
    <w:rsid w:val="10997F43"/>
    <w:rsid w:val="10B412F6"/>
    <w:rsid w:val="10DE7BAE"/>
    <w:rsid w:val="112E04B1"/>
    <w:rsid w:val="11D90C6C"/>
    <w:rsid w:val="11EE781B"/>
    <w:rsid w:val="120774A3"/>
    <w:rsid w:val="12201600"/>
    <w:rsid w:val="12503E08"/>
    <w:rsid w:val="128749DF"/>
    <w:rsid w:val="12A6623E"/>
    <w:rsid w:val="12DF4CD8"/>
    <w:rsid w:val="13283295"/>
    <w:rsid w:val="13971F9B"/>
    <w:rsid w:val="14005BC9"/>
    <w:rsid w:val="14006D19"/>
    <w:rsid w:val="141E2261"/>
    <w:rsid w:val="14337DBF"/>
    <w:rsid w:val="1481754F"/>
    <w:rsid w:val="148F5721"/>
    <w:rsid w:val="14AC57CD"/>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95D7D48"/>
    <w:rsid w:val="19E431C5"/>
    <w:rsid w:val="1A885AE6"/>
    <w:rsid w:val="1ABD5FCB"/>
    <w:rsid w:val="1AD01A1B"/>
    <w:rsid w:val="1B1557CF"/>
    <w:rsid w:val="1B61065A"/>
    <w:rsid w:val="1BB1405F"/>
    <w:rsid w:val="1BBF3927"/>
    <w:rsid w:val="1BCB6881"/>
    <w:rsid w:val="1C1142CA"/>
    <w:rsid w:val="1C177B08"/>
    <w:rsid w:val="1C9001C6"/>
    <w:rsid w:val="1CBA2101"/>
    <w:rsid w:val="1D0573D7"/>
    <w:rsid w:val="1D070CB6"/>
    <w:rsid w:val="1D153DC4"/>
    <w:rsid w:val="1D223E0B"/>
    <w:rsid w:val="1D9C0FDE"/>
    <w:rsid w:val="1DF03D7C"/>
    <w:rsid w:val="1E132F88"/>
    <w:rsid w:val="1E2867E9"/>
    <w:rsid w:val="1E853F6F"/>
    <w:rsid w:val="1E9C7BCC"/>
    <w:rsid w:val="1ECC1E3C"/>
    <w:rsid w:val="1F1C5EEC"/>
    <w:rsid w:val="1F396C30"/>
    <w:rsid w:val="1F8B6954"/>
    <w:rsid w:val="200825A0"/>
    <w:rsid w:val="20100E94"/>
    <w:rsid w:val="204E740F"/>
    <w:rsid w:val="20850FF5"/>
    <w:rsid w:val="20933D8F"/>
    <w:rsid w:val="20B31314"/>
    <w:rsid w:val="20B654AE"/>
    <w:rsid w:val="21014C39"/>
    <w:rsid w:val="2121345D"/>
    <w:rsid w:val="21244EB1"/>
    <w:rsid w:val="213964D8"/>
    <w:rsid w:val="21595D04"/>
    <w:rsid w:val="21F13629"/>
    <w:rsid w:val="22196BB4"/>
    <w:rsid w:val="2305377E"/>
    <w:rsid w:val="2333702C"/>
    <w:rsid w:val="234D6FD6"/>
    <w:rsid w:val="23522F16"/>
    <w:rsid w:val="2389576F"/>
    <w:rsid w:val="240153F9"/>
    <w:rsid w:val="24122135"/>
    <w:rsid w:val="2449719C"/>
    <w:rsid w:val="245B25BF"/>
    <w:rsid w:val="24D4257E"/>
    <w:rsid w:val="252169A5"/>
    <w:rsid w:val="25403F3C"/>
    <w:rsid w:val="25490B44"/>
    <w:rsid w:val="2572202B"/>
    <w:rsid w:val="258D4E7D"/>
    <w:rsid w:val="25AB1CB6"/>
    <w:rsid w:val="25E841E6"/>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2655A3"/>
    <w:rsid w:val="2A2C6E38"/>
    <w:rsid w:val="2A34628C"/>
    <w:rsid w:val="2A724D05"/>
    <w:rsid w:val="2A7E505C"/>
    <w:rsid w:val="2AC85686"/>
    <w:rsid w:val="2AD04B5F"/>
    <w:rsid w:val="2AF821D7"/>
    <w:rsid w:val="2B2B3C4D"/>
    <w:rsid w:val="2B311294"/>
    <w:rsid w:val="2B4B5EE6"/>
    <w:rsid w:val="2B502806"/>
    <w:rsid w:val="2B7948F6"/>
    <w:rsid w:val="2BC05B2C"/>
    <w:rsid w:val="2BD617C5"/>
    <w:rsid w:val="2BDB15FD"/>
    <w:rsid w:val="2C112837"/>
    <w:rsid w:val="2CAE0227"/>
    <w:rsid w:val="2CB80480"/>
    <w:rsid w:val="2E014790"/>
    <w:rsid w:val="2E082A14"/>
    <w:rsid w:val="2E401305"/>
    <w:rsid w:val="2E731B6B"/>
    <w:rsid w:val="2E932654"/>
    <w:rsid w:val="2E960366"/>
    <w:rsid w:val="2ECF4508"/>
    <w:rsid w:val="2EE77680"/>
    <w:rsid w:val="2F2F0FC8"/>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941AA2"/>
    <w:rsid w:val="36D17C2F"/>
    <w:rsid w:val="36D37423"/>
    <w:rsid w:val="379D23F9"/>
    <w:rsid w:val="37AB4FA6"/>
    <w:rsid w:val="394C72B7"/>
    <w:rsid w:val="3A185287"/>
    <w:rsid w:val="3A1F46B8"/>
    <w:rsid w:val="3A692CD0"/>
    <w:rsid w:val="3A92352C"/>
    <w:rsid w:val="3B270929"/>
    <w:rsid w:val="3B3D5571"/>
    <w:rsid w:val="3B577C68"/>
    <w:rsid w:val="3B673620"/>
    <w:rsid w:val="3B9A1F29"/>
    <w:rsid w:val="3CA30F83"/>
    <w:rsid w:val="3CAB5723"/>
    <w:rsid w:val="3CE4646B"/>
    <w:rsid w:val="3D1737C4"/>
    <w:rsid w:val="3D300544"/>
    <w:rsid w:val="3D4315FC"/>
    <w:rsid w:val="3D5E7AA8"/>
    <w:rsid w:val="3D6F2596"/>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61776"/>
    <w:rsid w:val="44972678"/>
    <w:rsid w:val="44BF6E7D"/>
    <w:rsid w:val="44E85A06"/>
    <w:rsid w:val="451632B9"/>
    <w:rsid w:val="45485273"/>
    <w:rsid w:val="4566717F"/>
    <w:rsid w:val="457B4C4B"/>
    <w:rsid w:val="458F0087"/>
    <w:rsid w:val="45906394"/>
    <w:rsid w:val="45E4124E"/>
    <w:rsid w:val="45F60A50"/>
    <w:rsid w:val="46142D0C"/>
    <w:rsid w:val="46923526"/>
    <w:rsid w:val="46970A81"/>
    <w:rsid w:val="4697115A"/>
    <w:rsid w:val="46B036BF"/>
    <w:rsid w:val="471E7E6C"/>
    <w:rsid w:val="47282363"/>
    <w:rsid w:val="47701BD2"/>
    <w:rsid w:val="482E2EBF"/>
    <w:rsid w:val="48346B27"/>
    <w:rsid w:val="48377D9E"/>
    <w:rsid w:val="48FC12CE"/>
    <w:rsid w:val="493D3211"/>
    <w:rsid w:val="49464E7D"/>
    <w:rsid w:val="49BB6774"/>
    <w:rsid w:val="49DC4EAC"/>
    <w:rsid w:val="49E55BC5"/>
    <w:rsid w:val="4A170D67"/>
    <w:rsid w:val="4A2E4752"/>
    <w:rsid w:val="4A314393"/>
    <w:rsid w:val="4A502337"/>
    <w:rsid w:val="4B017C80"/>
    <w:rsid w:val="4B5C6CFE"/>
    <w:rsid w:val="4BD16360"/>
    <w:rsid w:val="4BF24EEB"/>
    <w:rsid w:val="4C1C63D6"/>
    <w:rsid w:val="4C864A35"/>
    <w:rsid w:val="4CD61886"/>
    <w:rsid w:val="4D167DF7"/>
    <w:rsid w:val="4E015C76"/>
    <w:rsid w:val="4E310026"/>
    <w:rsid w:val="4E4A2325"/>
    <w:rsid w:val="4ED56361"/>
    <w:rsid w:val="4EDB4B65"/>
    <w:rsid w:val="4EEE4C05"/>
    <w:rsid w:val="4F5C5331"/>
    <w:rsid w:val="501A6C55"/>
    <w:rsid w:val="504338E1"/>
    <w:rsid w:val="505E1A7C"/>
    <w:rsid w:val="50DD750F"/>
    <w:rsid w:val="51B14BED"/>
    <w:rsid w:val="51CB19F2"/>
    <w:rsid w:val="51F437A2"/>
    <w:rsid w:val="523522B3"/>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708349C"/>
    <w:rsid w:val="58555010"/>
    <w:rsid w:val="58D0053D"/>
    <w:rsid w:val="598C40A0"/>
    <w:rsid w:val="59935EC3"/>
    <w:rsid w:val="59DA647E"/>
    <w:rsid w:val="5A556E1A"/>
    <w:rsid w:val="5A7649FC"/>
    <w:rsid w:val="5AD01678"/>
    <w:rsid w:val="5B583B1B"/>
    <w:rsid w:val="5B8F064C"/>
    <w:rsid w:val="5BB2626A"/>
    <w:rsid w:val="5BF6112C"/>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CC2D28"/>
    <w:rsid w:val="61F14827"/>
    <w:rsid w:val="622409B3"/>
    <w:rsid w:val="62296DAB"/>
    <w:rsid w:val="62AB695F"/>
    <w:rsid w:val="62F766B1"/>
    <w:rsid w:val="632E2686"/>
    <w:rsid w:val="63415308"/>
    <w:rsid w:val="635902CD"/>
    <w:rsid w:val="635E6E54"/>
    <w:rsid w:val="640111D3"/>
    <w:rsid w:val="6453068A"/>
    <w:rsid w:val="64706BBE"/>
    <w:rsid w:val="647235D4"/>
    <w:rsid w:val="64BE6D26"/>
    <w:rsid w:val="64F02CA7"/>
    <w:rsid w:val="64F2095B"/>
    <w:rsid w:val="659E5E96"/>
    <w:rsid w:val="65B6141B"/>
    <w:rsid w:val="65C17F1F"/>
    <w:rsid w:val="65C814E8"/>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BCB2EC8"/>
    <w:rsid w:val="6C126A8E"/>
    <w:rsid w:val="6C5959EE"/>
    <w:rsid w:val="6C681E3D"/>
    <w:rsid w:val="6C7172AA"/>
    <w:rsid w:val="6CC34D51"/>
    <w:rsid w:val="6CE16D19"/>
    <w:rsid w:val="6D566F0F"/>
    <w:rsid w:val="6D836F72"/>
    <w:rsid w:val="6D944C6F"/>
    <w:rsid w:val="6DA200E2"/>
    <w:rsid w:val="6DDE3DAF"/>
    <w:rsid w:val="6E17316D"/>
    <w:rsid w:val="6E3241BE"/>
    <w:rsid w:val="6EB97A9D"/>
    <w:rsid w:val="6EBE48B8"/>
    <w:rsid w:val="6EF10A90"/>
    <w:rsid w:val="6EF77781"/>
    <w:rsid w:val="6F7F3578"/>
    <w:rsid w:val="6FF86D3D"/>
    <w:rsid w:val="6FFF1868"/>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935AFB"/>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53"/>
    <w:unhideWhenUsed/>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22</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2023-09-27T14:19:58Z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